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020" w:rsidRPr="005313C8" w:rsidRDefault="00EF0020" w:rsidP="00EF0020">
      <w:pPr>
        <w:jc w:val="center"/>
        <w:rPr>
          <w:b/>
          <w:lang w:val="es-ES"/>
        </w:rPr>
      </w:pPr>
      <w:bookmarkStart w:id="0" w:name="_GoBack"/>
      <w:bookmarkEnd w:id="0"/>
      <w:r w:rsidRPr="005313C8">
        <w:rPr>
          <w:b/>
          <w:lang w:val="es-ES"/>
        </w:rPr>
        <w:t xml:space="preserve">II </w:t>
      </w:r>
      <w:r w:rsidRPr="00EF0020">
        <w:rPr>
          <w:b/>
        </w:rPr>
        <w:t>WHO Technical Consultation</w:t>
      </w:r>
      <w:r w:rsidRPr="005313C8">
        <w:rPr>
          <w:b/>
          <w:lang w:val="es-ES"/>
        </w:rPr>
        <w:t xml:space="preserve"> on</w:t>
      </w:r>
    </w:p>
    <w:p w:rsidR="00EF0020" w:rsidRPr="00EF0020" w:rsidRDefault="00EF0020" w:rsidP="00EF0020">
      <w:pPr>
        <w:jc w:val="center"/>
        <w:rPr>
          <w:b/>
        </w:rPr>
      </w:pPr>
      <w:r w:rsidRPr="00EF0020">
        <w:rPr>
          <w:b/>
        </w:rPr>
        <w:t>Control of Congenital Chagas disease in non-endemic countries</w:t>
      </w:r>
    </w:p>
    <w:p w:rsidR="00EF0020" w:rsidRDefault="00EF0020" w:rsidP="00EF0020">
      <w:pPr>
        <w:jc w:val="center"/>
      </w:pPr>
    </w:p>
    <w:p w:rsidR="00EF0020" w:rsidRPr="00B95F00" w:rsidRDefault="00EF0020" w:rsidP="00EF0020">
      <w:pPr>
        <w:jc w:val="center"/>
        <w:rPr>
          <w:lang w:val="en-US"/>
        </w:rPr>
      </w:pPr>
      <w:r w:rsidRPr="00B95F00">
        <w:rPr>
          <w:lang w:val="en-US"/>
        </w:rPr>
        <w:t>Murcia, Spain, 9 &amp; 10 October 2018</w:t>
      </w:r>
    </w:p>
    <w:p w:rsidR="00EF0020" w:rsidRPr="008A5025" w:rsidRDefault="00EF0020" w:rsidP="008A5025">
      <w:pPr>
        <w:jc w:val="both"/>
        <w:rPr>
          <w:lang w:val="en-US"/>
        </w:rPr>
      </w:pPr>
    </w:p>
    <w:p w:rsidR="00EF0020" w:rsidRPr="008A5025" w:rsidRDefault="00EF0020" w:rsidP="008A5025">
      <w:pPr>
        <w:jc w:val="both"/>
      </w:pPr>
      <w:r w:rsidRPr="008A5025">
        <w:rPr>
          <w:b/>
        </w:rPr>
        <w:t>Presentation scheme</w:t>
      </w:r>
      <w:r w:rsidRPr="008A5025">
        <w:t xml:space="preserve"> – Who, Where, What and How</w:t>
      </w:r>
    </w:p>
    <w:p w:rsidR="00EF0020" w:rsidRPr="008A5025" w:rsidRDefault="00EF0020" w:rsidP="008A5025">
      <w:pPr>
        <w:jc w:val="both"/>
        <w:rPr>
          <w:b/>
        </w:rPr>
      </w:pPr>
      <w:r w:rsidRPr="008A5025">
        <w:rPr>
          <w:b/>
        </w:rPr>
        <w:t>-        Presentation of the group, network and/or institutions</w:t>
      </w:r>
      <w:r w:rsidR="002B57E7" w:rsidRPr="008A5025">
        <w:rPr>
          <w:b/>
        </w:rPr>
        <w:t>:</w:t>
      </w:r>
    </w:p>
    <w:p w:rsidR="00B5315F" w:rsidRPr="008A5025" w:rsidRDefault="002B57E7" w:rsidP="008A5025">
      <w:pPr>
        <w:jc w:val="both"/>
      </w:pPr>
      <w:r w:rsidRPr="008A5025">
        <w:t xml:space="preserve">Expert </w:t>
      </w:r>
      <w:r w:rsidR="00B5315F" w:rsidRPr="008A5025">
        <w:t xml:space="preserve">on Chagas disease, as a representative from Italy </w:t>
      </w:r>
      <w:r w:rsidRPr="008A5025">
        <w:t>are</w:t>
      </w:r>
      <w:r w:rsidR="00B5315F" w:rsidRPr="008A5025">
        <w:t>:</w:t>
      </w:r>
    </w:p>
    <w:p w:rsidR="00B5315F" w:rsidRPr="008A5025" w:rsidRDefault="00B5315F" w:rsidP="008A5025">
      <w:pPr>
        <w:jc w:val="both"/>
      </w:pPr>
      <w:r w:rsidRPr="008A5025">
        <w:t xml:space="preserve">- </w:t>
      </w:r>
      <w:r w:rsidR="002B57E7" w:rsidRPr="008A5025">
        <w:t xml:space="preserve">Andrea </w:t>
      </w:r>
      <w:proofErr w:type="spellStart"/>
      <w:r w:rsidR="002B57E7" w:rsidRPr="008A5025">
        <w:t>Angheben</w:t>
      </w:r>
      <w:proofErr w:type="spellEnd"/>
      <w:r w:rsidR="002B57E7" w:rsidRPr="008A5025">
        <w:t xml:space="preserve">, </w:t>
      </w:r>
      <w:proofErr w:type="spellStart"/>
      <w:r w:rsidR="002B57E7" w:rsidRPr="008A5025">
        <w:t>representant</w:t>
      </w:r>
      <w:proofErr w:type="spellEnd"/>
      <w:r w:rsidR="002B57E7" w:rsidRPr="008A5025">
        <w:t xml:space="preserve"> of the IRCCS </w:t>
      </w:r>
      <w:proofErr w:type="spellStart"/>
      <w:r w:rsidR="002B57E7" w:rsidRPr="008A5025">
        <w:t>Sacro</w:t>
      </w:r>
      <w:proofErr w:type="spellEnd"/>
      <w:r w:rsidR="002B57E7" w:rsidRPr="008A5025">
        <w:t xml:space="preserve"> </w:t>
      </w:r>
      <w:proofErr w:type="spellStart"/>
      <w:r w:rsidR="002B57E7" w:rsidRPr="008A5025">
        <w:t>Cuore</w:t>
      </w:r>
      <w:proofErr w:type="spellEnd"/>
      <w:r w:rsidRPr="008A5025">
        <w:t xml:space="preserve"> Hospital</w:t>
      </w:r>
      <w:r w:rsidR="002B57E7" w:rsidRPr="008A5025">
        <w:t xml:space="preserve">, Centre for Tropical Diseases, </w:t>
      </w:r>
      <w:proofErr w:type="spellStart"/>
      <w:r w:rsidR="002B57E7" w:rsidRPr="008A5025">
        <w:t>Negrar</w:t>
      </w:r>
      <w:proofErr w:type="spellEnd"/>
      <w:r w:rsidR="002B57E7" w:rsidRPr="008A5025">
        <w:t xml:space="preserve">, Verona, with colleagues Paola </w:t>
      </w:r>
      <w:proofErr w:type="spellStart"/>
      <w:r w:rsidR="002B57E7" w:rsidRPr="008A5025">
        <w:t>Rodari</w:t>
      </w:r>
      <w:proofErr w:type="spellEnd"/>
      <w:r w:rsidR="002B57E7" w:rsidRPr="008A5025">
        <w:t xml:space="preserve">, Zeno </w:t>
      </w:r>
      <w:proofErr w:type="spellStart"/>
      <w:r w:rsidR="002B57E7" w:rsidRPr="008A5025">
        <w:t>Bisoffi</w:t>
      </w:r>
      <w:proofErr w:type="spellEnd"/>
      <w:r w:rsidR="002B57E7" w:rsidRPr="008A5025">
        <w:t xml:space="preserve">, Federico </w:t>
      </w:r>
      <w:proofErr w:type="spellStart"/>
      <w:r w:rsidR="002B57E7" w:rsidRPr="008A5025">
        <w:t>Gobbi</w:t>
      </w:r>
      <w:proofErr w:type="spellEnd"/>
      <w:r w:rsidR="002B57E7" w:rsidRPr="008A5025">
        <w:t xml:space="preserve">; </w:t>
      </w:r>
    </w:p>
    <w:p w:rsidR="00B5315F" w:rsidRPr="008A5025" w:rsidRDefault="00B5315F" w:rsidP="008A5025">
      <w:pPr>
        <w:jc w:val="both"/>
      </w:pPr>
      <w:r w:rsidRPr="008A5025">
        <w:t xml:space="preserve">- </w:t>
      </w:r>
      <w:r w:rsidR="002B57E7" w:rsidRPr="008A5025">
        <w:t xml:space="preserve">Lorenzo </w:t>
      </w:r>
      <w:proofErr w:type="spellStart"/>
      <w:r w:rsidR="002B57E7" w:rsidRPr="008A5025">
        <w:t>Zammarchi</w:t>
      </w:r>
      <w:proofErr w:type="spellEnd"/>
      <w:r w:rsidR="002B57E7" w:rsidRPr="008A5025">
        <w:t xml:space="preserve">, Infectious and Tropical Disease Unit, Tuscany Reference </w:t>
      </w:r>
      <w:r w:rsidRPr="008A5025">
        <w:t>Centre of Tropical Diseases</w:t>
      </w:r>
      <w:r w:rsidR="002B57E7" w:rsidRPr="008A5025">
        <w:t xml:space="preserve">, </w:t>
      </w:r>
      <w:r w:rsidR="007F06EF" w:rsidRPr="008A5025">
        <w:t xml:space="preserve">University </w:t>
      </w:r>
      <w:r w:rsidRPr="008A5025">
        <w:t xml:space="preserve">Hospital </w:t>
      </w:r>
      <w:proofErr w:type="spellStart"/>
      <w:r w:rsidRPr="008A5025">
        <w:t>Careggi</w:t>
      </w:r>
      <w:proofErr w:type="spellEnd"/>
      <w:r w:rsidRPr="008A5025">
        <w:t xml:space="preserve">, </w:t>
      </w:r>
      <w:r w:rsidR="002B57E7" w:rsidRPr="008A5025">
        <w:t xml:space="preserve">Florence </w:t>
      </w:r>
      <w:r w:rsidR="008D315B">
        <w:t>with colleague</w:t>
      </w:r>
      <w:r w:rsidRPr="008A5025">
        <w:t xml:space="preserve"> Alessandro </w:t>
      </w:r>
      <w:proofErr w:type="spellStart"/>
      <w:r w:rsidRPr="008A5025">
        <w:t>Bartoloni</w:t>
      </w:r>
      <w:proofErr w:type="spellEnd"/>
      <w:r w:rsidRPr="008A5025">
        <w:t xml:space="preserve"> </w:t>
      </w:r>
      <w:r w:rsidR="00CE5CEC" w:rsidRPr="008A5025">
        <w:t xml:space="preserve">on behalf of the Tuscany Region </w:t>
      </w:r>
      <w:r w:rsidR="002B57E7" w:rsidRPr="008A5025">
        <w:t xml:space="preserve">and </w:t>
      </w:r>
    </w:p>
    <w:p w:rsidR="00B5315F" w:rsidRPr="008A5025" w:rsidRDefault="00B5315F" w:rsidP="008A5025">
      <w:pPr>
        <w:jc w:val="both"/>
      </w:pPr>
      <w:r w:rsidRPr="008A5025">
        <w:t xml:space="preserve">- </w:t>
      </w:r>
      <w:r w:rsidR="002B57E7" w:rsidRPr="008A5025">
        <w:t xml:space="preserve">Serena </w:t>
      </w:r>
      <w:proofErr w:type="spellStart"/>
      <w:r w:rsidR="002B57E7" w:rsidRPr="008A5025">
        <w:t>Venturelli</w:t>
      </w:r>
      <w:proofErr w:type="spellEnd"/>
      <w:r w:rsidR="002B57E7" w:rsidRPr="008A5025">
        <w:t xml:space="preserve">, Infectious Diseases </w:t>
      </w:r>
      <w:r w:rsidR="008A5025">
        <w:t>Unit, ASST</w:t>
      </w:r>
      <w:r w:rsidR="002B57E7" w:rsidRPr="008A5025">
        <w:t xml:space="preserve"> </w:t>
      </w:r>
      <w:r w:rsidRPr="008A5025">
        <w:t>Papa Giovanni</w:t>
      </w:r>
      <w:r w:rsidR="008A5025">
        <w:t xml:space="preserve"> XXIII</w:t>
      </w:r>
      <w:r w:rsidR="002B57E7" w:rsidRPr="008A5025">
        <w:t>, Bergamo</w:t>
      </w:r>
      <w:r w:rsidRPr="008A5025">
        <w:t xml:space="preserve"> with colleague Marco </w:t>
      </w:r>
      <w:proofErr w:type="spellStart"/>
      <w:r w:rsidRPr="008A5025">
        <w:t>Rizzi</w:t>
      </w:r>
      <w:proofErr w:type="spellEnd"/>
      <w:r w:rsidR="002B57E7" w:rsidRPr="008A5025">
        <w:t xml:space="preserve">. </w:t>
      </w:r>
    </w:p>
    <w:p w:rsidR="00B5315F" w:rsidRPr="008A5025" w:rsidRDefault="002B57E7" w:rsidP="008A5025">
      <w:pPr>
        <w:jc w:val="both"/>
      </w:pPr>
      <w:r w:rsidRPr="008A5025">
        <w:t xml:space="preserve">Every Centre have expertise in diagnosis, case management, prevention of </w:t>
      </w:r>
      <w:proofErr w:type="spellStart"/>
      <w:r w:rsidRPr="008A5025">
        <w:t>ChD</w:t>
      </w:r>
      <w:proofErr w:type="spellEnd"/>
      <w:r w:rsidR="00B5315F" w:rsidRPr="008A5025">
        <w:t xml:space="preserve"> and congenital </w:t>
      </w:r>
      <w:proofErr w:type="spellStart"/>
      <w:r w:rsidR="00B5315F" w:rsidRPr="008A5025">
        <w:t>ChD</w:t>
      </w:r>
      <w:proofErr w:type="spellEnd"/>
      <w:r w:rsidRPr="008A5025">
        <w:t xml:space="preserve">; the </w:t>
      </w:r>
      <w:r w:rsidR="00B5315F" w:rsidRPr="008A5025">
        <w:t xml:space="preserve">first line </w:t>
      </w:r>
      <w:r w:rsidRPr="008A5025">
        <w:t>drug, Benznidazol</w:t>
      </w:r>
      <w:r w:rsidR="00B5315F" w:rsidRPr="008A5025">
        <w:t>e</w:t>
      </w:r>
      <w:r w:rsidRPr="008A5025">
        <w:t xml:space="preserve"> is available at all Centres</w:t>
      </w:r>
      <w:r w:rsidR="00B5315F" w:rsidRPr="008A5025">
        <w:t>, Nifurtimox is available according to WHO donation</w:t>
      </w:r>
      <w:r w:rsidRPr="008A5025">
        <w:t xml:space="preserve">. </w:t>
      </w:r>
    </w:p>
    <w:p w:rsidR="002B57E7" w:rsidRPr="008A5025" w:rsidRDefault="00B5315F" w:rsidP="008A5025">
      <w:pPr>
        <w:jc w:val="both"/>
      </w:pPr>
      <w:r w:rsidRPr="008A5025">
        <w:t>Regarding</w:t>
      </w:r>
      <w:r w:rsidR="002B57E7" w:rsidRPr="008A5025">
        <w:t xml:space="preserve"> these Centres we should mention </w:t>
      </w:r>
      <w:r w:rsidRPr="008A5025">
        <w:t>that they</w:t>
      </w:r>
      <w:r w:rsidR="002B57E7" w:rsidRPr="008A5025">
        <w:t xml:space="preserve"> are seeing the most part of </w:t>
      </w:r>
      <w:proofErr w:type="spellStart"/>
      <w:r w:rsidR="002B57E7" w:rsidRPr="008A5025">
        <w:t>Chagas</w:t>
      </w:r>
      <w:proofErr w:type="spellEnd"/>
      <w:r w:rsidR="002B57E7" w:rsidRPr="008A5025">
        <w:t xml:space="preserve"> diseases </w:t>
      </w:r>
      <w:r w:rsidR="00114A83" w:rsidRPr="008A5025">
        <w:t>(</w:t>
      </w:r>
      <w:proofErr w:type="spellStart"/>
      <w:r w:rsidR="00114A83" w:rsidRPr="008A5025">
        <w:t>ChD</w:t>
      </w:r>
      <w:proofErr w:type="spellEnd"/>
      <w:r w:rsidR="00114A83" w:rsidRPr="008A5025">
        <w:t xml:space="preserve">) </w:t>
      </w:r>
      <w:r w:rsidR="002B57E7" w:rsidRPr="008A5025">
        <w:t>cases,</w:t>
      </w:r>
      <w:r w:rsidRPr="008A5025">
        <w:t xml:space="preserve"> in Italy, for a total of around 10% of all estimated cases (600 cases treated out of 6000-12000 cases estimated countrywide). Some other centres are active in Italy on case detection and treatment, namely Lazzaro Spallanzani Hospital, Rome, (Dr </w:t>
      </w:r>
      <w:proofErr w:type="spellStart"/>
      <w:r w:rsidRPr="008A5025">
        <w:t>Nicastri</w:t>
      </w:r>
      <w:proofErr w:type="spellEnd"/>
      <w:r w:rsidRPr="008A5025">
        <w:t xml:space="preserve">, </w:t>
      </w:r>
      <w:r w:rsidR="00114A83" w:rsidRPr="008A5025">
        <w:t xml:space="preserve">Dr </w:t>
      </w:r>
      <w:proofErr w:type="spellStart"/>
      <w:r w:rsidRPr="008A5025">
        <w:t>Giancola</w:t>
      </w:r>
      <w:proofErr w:type="spellEnd"/>
      <w:r w:rsidRPr="008A5025">
        <w:t xml:space="preserve">) currently with some projects of active case detection and a recent publication on this topic, and Luigi Sacco hospital which is an </w:t>
      </w:r>
      <w:r w:rsidR="00114A83" w:rsidRPr="008A5025">
        <w:t xml:space="preserve">University </w:t>
      </w:r>
      <w:r w:rsidRPr="008A5025">
        <w:t>hospital in Milan (</w:t>
      </w:r>
      <w:r w:rsidR="00114A83" w:rsidRPr="008A5025">
        <w:t xml:space="preserve">Prof </w:t>
      </w:r>
      <w:proofErr w:type="spellStart"/>
      <w:r w:rsidRPr="008A5025">
        <w:t>Antinori</w:t>
      </w:r>
      <w:proofErr w:type="spellEnd"/>
      <w:r w:rsidRPr="008A5025">
        <w:t xml:space="preserve">). At </w:t>
      </w:r>
      <w:r w:rsidR="00114A83" w:rsidRPr="008A5025">
        <w:t xml:space="preserve">La </w:t>
      </w:r>
      <w:proofErr w:type="spellStart"/>
      <w:r w:rsidRPr="008A5025">
        <w:t>Sapienza</w:t>
      </w:r>
      <w:proofErr w:type="spellEnd"/>
      <w:r w:rsidRPr="008A5025">
        <w:t xml:space="preserve"> University there is a reference lab for parasitological and tropical diseases with an expertise in serological and molecular biology diagnosis of </w:t>
      </w:r>
      <w:proofErr w:type="spellStart"/>
      <w:r w:rsidRPr="008A5025">
        <w:t>ChD</w:t>
      </w:r>
      <w:proofErr w:type="spellEnd"/>
      <w:r w:rsidRPr="008A5025">
        <w:t xml:space="preserve">. In </w:t>
      </w:r>
      <w:proofErr w:type="spellStart"/>
      <w:r w:rsidRPr="008A5025">
        <w:t>Genova</w:t>
      </w:r>
      <w:proofErr w:type="spellEnd"/>
      <w:r w:rsidRPr="008A5025">
        <w:t xml:space="preserve">, at IRCCS </w:t>
      </w:r>
      <w:proofErr w:type="spellStart"/>
      <w:r w:rsidRPr="008A5025">
        <w:t>Universitary</w:t>
      </w:r>
      <w:proofErr w:type="spellEnd"/>
      <w:r w:rsidRPr="008A5025">
        <w:t xml:space="preserve"> Hospital San Martino, colleagues ar</w:t>
      </w:r>
      <w:r w:rsidR="005759AD" w:rsidRPr="008A5025">
        <w:t xml:space="preserve">e working actively in treatment </w:t>
      </w:r>
      <w:proofErr w:type="spellStart"/>
      <w:r w:rsidR="005759AD" w:rsidRPr="008A5025">
        <w:t>od</w:t>
      </w:r>
      <w:proofErr w:type="spellEnd"/>
      <w:r w:rsidR="005759AD" w:rsidRPr="008A5025">
        <w:t xml:space="preserve"> </w:t>
      </w:r>
      <w:proofErr w:type="spellStart"/>
      <w:r w:rsidR="005759AD" w:rsidRPr="008A5025">
        <w:t>ChD</w:t>
      </w:r>
      <w:proofErr w:type="spellEnd"/>
      <w:r w:rsidR="005759AD" w:rsidRPr="008A5025">
        <w:t xml:space="preserve"> cases among the huge Ecuadorian community settled in that area of Liguria Region.</w:t>
      </w:r>
    </w:p>
    <w:p w:rsidR="00EB4782" w:rsidRPr="008A5025" w:rsidRDefault="005759AD" w:rsidP="008A5025">
      <w:pPr>
        <w:jc w:val="both"/>
      </w:pPr>
      <w:r w:rsidRPr="008A5025">
        <w:t xml:space="preserve">Concerning congenital </w:t>
      </w:r>
      <w:proofErr w:type="spellStart"/>
      <w:r w:rsidRPr="008A5025">
        <w:t>ChD</w:t>
      </w:r>
      <w:proofErr w:type="spellEnd"/>
      <w:r w:rsidRPr="008A5025">
        <w:t xml:space="preserve">, </w:t>
      </w:r>
      <w:proofErr w:type="spellStart"/>
      <w:r w:rsidRPr="008A5025">
        <w:t>Negrar</w:t>
      </w:r>
      <w:proofErr w:type="spellEnd"/>
      <w:r w:rsidRPr="008A5025">
        <w:t xml:space="preserve">, </w:t>
      </w:r>
      <w:r w:rsidR="00CE5CEC" w:rsidRPr="008A5025">
        <w:t xml:space="preserve">Florence and the Tuscany Region </w:t>
      </w:r>
      <w:r w:rsidRPr="008A5025">
        <w:t xml:space="preserve">and Bergamo are currently working on it. Every centre has a protocol of case detection and management; </w:t>
      </w:r>
      <w:proofErr w:type="spellStart"/>
      <w:r w:rsidRPr="008A5025">
        <w:t>Negrar</w:t>
      </w:r>
      <w:proofErr w:type="spellEnd"/>
      <w:r w:rsidRPr="008A5025">
        <w:t xml:space="preserve"> at institutional level (hospital level) but working on promotion of the screening in the Veneto Region; </w:t>
      </w:r>
      <w:r w:rsidR="00CE5CEC" w:rsidRPr="008A5025">
        <w:t xml:space="preserve">the centre of </w:t>
      </w:r>
      <w:r w:rsidRPr="008A5025">
        <w:t xml:space="preserve">Florence </w:t>
      </w:r>
      <w:r w:rsidR="00CE5CEC" w:rsidRPr="008A5025">
        <w:t xml:space="preserve">introduced on 2008 the serological screening for </w:t>
      </w:r>
      <w:proofErr w:type="spellStart"/>
      <w:r w:rsidR="00CE5CEC" w:rsidRPr="008A5025">
        <w:t>ChD</w:t>
      </w:r>
      <w:proofErr w:type="spellEnd"/>
      <w:r w:rsidR="00CE5CEC" w:rsidRPr="008A5025">
        <w:t xml:space="preserve"> in LA pregnant women </w:t>
      </w:r>
      <w:r w:rsidR="006118BF" w:rsidRPr="008A5025">
        <w:t>delivering</w:t>
      </w:r>
      <w:r w:rsidR="00CE5CEC" w:rsidRPr="008A5025">
        <w:t xml:space="preserve"> at the </w:t>
      </w:r>
      <w:proofErr w:type="spellStart"/>
      <w:r w:rsidR="00CE5CEC" w:rsidRPr="008A5025">
        <w:t>Careggi</w:t>
      </w:r>
      <w:proofErr w:type="spellEnd"/>
      <w:r w:rsidR="00CE5CEC" w:rsidRPr="008A5025">
        <w:t xml:space="preserve"> University Hospital, Florence</w:t>
      </w:r>
      <w:r w:rsidR="00BA17D9" w:rsidRPr="008A5025">
        <w:t xml:space="preserve">. On </w:t>
      </w:r>
      <w:r w:rsidR="00CE5CEC" w:rsidRPr="008A5025">
        <w:t xml:space="preserve">2012 </w:t>
      </w:r>
      <w:r w:rsidR="007F06EF" w:rsidRPr="008A5025">
        <w:t>a</w:t>
      </w:r>
      <w:r w:rsidR="00BA17D9" w:rsidRPr="008A5025">
        <w:t xml:space="preserve"> </w:t>
      </w:r>
      <w:r w:rsidR="007F06EF" w:rsidRPr="008A5025">
        <w:t xml:space="preserve">free </w:t>
      </w:r>
      <w:r w:rsidR="00BA17D9" w:rsidRPr="008A5025">
        <w:t xml:space="preserve">screening for </w:t>
      </w:r>
      <w:proofErr w:type="spellStart"/>
      <w:r w:rsidR="00BA17D9" w:rsidRPr="008A5025">
        <w:t>ChD</w:t>
      </w:r>
      <w:proofErr w:type="spellEnd"/>
      <w:r w:rsidR="00BA17D9" w:rsidRPr="008A5025">
        <w:t xml:space="preserve"> in LA pregnant women and the follow-up of </w:t>
      </w:r>
      <w:proofErr w:type="spellStart"/>
      <w:r w:rsidR="007F06EF" w:rsidRPr="008A5025">
        <w:t>newborns</w:t>
      </w:r>
      <w:proofErr w:type="spellEnd"/>
      <w:r w:rsidR="00BA17D9" w:rsidRPr="008A5025">
        <w:t xml:space="preserve"> from seropositive mother</w:t>
      </w:r>
      <w:r w:rsidR="00AD001B" w:rsidRPr="008A5025">
        <w:t>s</w:t>
      </w:r>
      <w:r w:rsidR="00BA17D9" w:rsidRPr="008A5025">
        <w:t xml:space="preserve"> was formally introduced </w:t>
      </w:r>
      <w:r w:rsidR="007F06EF" w:rsidRPr="008A5025">
        <w:t xml:space="preserve">by law </w:t>
      </w:r>
      <w:r w:rsidR="00BA17D9" w:rsidRPr="008A5025">
        <w:t xml:space="preserve">in the Tuscany Region </w:t>
      </w:r>
      <w:r w:rsidR="00CE5CEC" w:rsidRPr="00F22FF9">
        <w:t>(</w:t>
      </w:r>
      <w:proofErr w:type="spellStart"/>
      <w:r w:rsidR="00AD001B" w:rsidRPr="00F22FF9">
        <w:fldChar w:fldCharType="begin"/>
      </w:r>
      <w:r w:rsidR="00AD001B" w:rsidRPr="00F22FF9">
        <w:instrText xml:space="preserve"> HYPERLINK "http://www.regione.toscana.it/documents/10180/13326766/Allegato+parere+n.+46-2015+Prev+e+conrollo+malattia+di+Chagas.pdf/a91b89ec-2366-4abf-8646-ba65a543e025?version=1.0" </w:instrText>
      </w:r>
      <w:r w:rsidR="00AD001B" w:rsidRPr="00F22FF9">
        <w:fldChar w:fldCharType="separate"/>
      </w:r>
      <w:r w:rsidR="00CE5CEC" w:rsidRPr="00F22FF9">
        <w:rPr>
          <w:rStyle w:val="Collegamentoipertestuale"/>
          <w:color w:val="auto"/>
          <w:u w:val="none"/>
        </w:rPr>
        <w:t>Regione</w:t>
      </w:r>
      <w:proofErr w:type="spellEnd"/>
      <w:r w:rsidR="00CE5CEC" w:rsidRPr="00F22FF9">
        <w:rPr>
          <w:rStyle w:val="Collegamentoipertestuale"/>
          <w:color w:val="auto"/>
          <w:u w:val="none"/>
        </w:rPr>
        <w:t xml:space="preserve"> Toscana, </w:t>
      </w:r>
      <w:proofErr w:type="spellStart"/>
      <w:r w:rsidR="00CE5CEC" w:rsidRPr="00F22FF9">
        <w:rPr>
          <w:rStyle w:val="Collegamentoipertestuale"/>
          <w:color w:val="auto"/>
          <w:u w:val="none"/>
        </w:rPr>
        <w:t>Delibera</w:t>
      </w:r>
      <w:proofErr w:type="spellEnd"/>
      <w:r w:rsidR="00CE5CEC" w:rsidRPr="00F22FF9">
        <w:rPr>
          <w:rStyle w:val="Collegamentoipertestuale"/>
          <w:color w:val="auto"/>
          <w:u w:val="none"/>
        </w:rPr>
        <w:t xml:space="preserve"> n°489,  4 </w:t>
      </w:r>
      <w:proofErr w:type="spellStart"/>
      <w:r w:rsidR="00CE5CEC" w:rsidRPr="00F22FF9">
        <w:rPr>
          <w:rStyle w:val="Collegamentoipertestuale"/>
          <w:color w:val="auto"/>
          <w:u w:val="none"/>
        </w:rPr>
        <w:t>Giugno</w:t>
      </w:r>
      <w:proofErr w:type="spellEnd"/>
      <w:r w:rsidR="00CE5CEC" w:rsidRPr="00F22FF9">
        <w:rPr>
          <w:rStyle w:val="Collegamentoipertestuale"/>
          <w:color w:val="auto"/>
          <w:u w:val="none"/>
        </w:rPr>
        <w:t>, 2012</w:t>
      </w:r>
      <w:r w:rsidR="00AD001B" w:rsidRPr="00F22FF9">
        <w:fldChar w:fldCharType="end"/>
      </w:r>
      <w:r w:rsidR="00CE5CEC" w:rsidRPr="00F22FF9">
        <w:t>)</w:t>
      </w:r>
      <w:r w:rsidR="007F06EF" w:rsidRPr="00F22FF9">
        <w:t>.</w:t>
      </w:r>
      <w:r w:rsidR="00AD001B" w:rsidRPr="00F22FF9">
        <w:t xml:space="preserve"> This achievement was the result</w:t>
      </w:r>
      <w:r w:rsidR="00AD001B" w:rsidRPr="008A5025">
        <w:t xml:space="preserve"> of a long and complex multidisciplinary collaboration between representative of health care services involved </w:t>
      </w:r>
      <w:r w:rsidR="00AD001B" w:rsidRPr="008A5025">
        <w:lastRenderedPageBreak/>
        <w:t xml:space="preserve">(infectious and tropical diseases specialists, paediatricians, neonatologist, midwives, </w:t>
      </w:r>
      <w:proofErr w:type="spellStart"/>
      <w:r w:rsidR="00AD001B" w:rsidRPr="008A5025">
        <w:t>gynecologist</w:t>
      </w:r>
      <w:proofErr w:type="spellEnd"/>
      <w:r w:rsidR="00AD001B" w:rsidRPr="008A5025">
        <w:t xml:space="preserve"> and obstetricians, microbiologists, referents of the Tuscany Region </w:t>
      </w:r>
      <w:proofErr w:type="spellStart"/>
      <w:r w:rsidR="00AD001B" w:rsidRPr="008A5025">
        <w:t>ect</w:t>
      </w:r>
      <w:proofErr w:type="spellEnd"/>
      <w:r w:rsidR="00AD001B" w:rsidRPr="008A5025">
        <w:t xml:space="preserve">...). The screening programme has still to be fully implemented </w:t>
      </w:r>
      <w:r w:rsidR="006118BF" w:rsidRPr="008A5025">
        <w:t xml:space="preserve">and is being </w:t>
      </w:r>
      <w:proofErr w:type="spellStart"/>
      <w:r w:rsidR="006118BF" w:rsidRPr="008A5025">
        <w:t>uptated</w:t>
      </w:r>
      <w:proofErr w:type="spellEnd"/>
      <w:r w:rsidR="006118BF" w:rsidRPr="008A5025">
        <w:t xml:space="preserve"> </w:t>
      </w:r>
      <w:r w:rsidR="00AD001B" w:rsidRPr="008A5025">
        <w:t xml:space="preserve">(see the results below). </w:t>
      </w:r>
      <w:r w:rsidRPr="008A5025">
        <w:t xml:space="preserve">; Bergamo also developed a provincial (sub-regional level) protocol for the prevention of the vertical transmission of </w:t>
      </w:r>
      <w:proofErr w:type="spellStart"/>
      <w:r w:rsidRPr="008A5025">
        <w:t>ChD</w:t>
      </w:r>
      <w:proofErr w:type="spellEnd"/>
      <w:r w:rsidRPr="008A5025">
        <w:t xml:space="preserve"> by the Inter-Hospital Committee for the Control of Hospital-acquired Infection.</w:t>
      </w:r>
    </w:p>
    <w:p w:rsidR="00EB4782" w:rsidRPr="008A5025" w:rsidRDefault="00EB4782" w:rsidP="008A5025">
      <w:pPr>
        <w:jc w:val="both"/>
      </w:pPr>
      <w:r w:rsidRPr="008A5025">
        <w:t xml:space="preserve">At IRCCS </w:t>
      </w:r>
      <w:proofErr w:type="spellStart"/>
      <w:r w:rsidRPr="008A5025">
        <w:t>Sacro</w:t>
      </w:r>
      <w:proofErr w:type="spellEnd"/>
      <w:r w:rsidRPr="008A5025">
        <w:t xml:space="preserve"> </w:t>
      </w:r>
      <w:proofErr w:type="spellStart"/>
      <w:r w:rsidRPr="008A5025">
        <w:t>Cuore</w:t>
      </w:r>
      <w:proofErr w:type="spellEnd"/>
      <w:r w:rsidRPr="008A5025">
        <w:t xml:space="preserve"> Hospital </w:t>
      </w:r>
      <w:proofErr w:type="spellStart"/>
      <w:r w:rsidRPr="008A5025">
        <w:t>Negrar</w:t>
      </w:r>
      <w:proofErr w:type="spellEnd"/>
      <w:r w:rsidRPr="008A5025">
        <w:t xml:space="preserve"> in a ten years period 131 Latin American </w:t>
      </w:r>
      <w:r w:rsidR="00C66ED4" w:rsidRPr="008A5025">
        <w:t xml:space="preserve">(LA) </w:t>
      </w:r>
      <w:r w:rsidRPr="008A5025">
        <w:t xml:space="preserve">pregnant women have been followed with a total of 131 deliveries. Coverage rate for </w:t>
      </w:r>
      <w:proofErr w:type="spellStart"/>
      <w:r w:rsidRPr="008A5025">
        <w:t>ChD</w:t>
      </w:r>
      <w:proofErr w:type="spellEnd"/>
      <w:r w:rsidRPr="008A5025">
        <w:t xml:space="preserve"> screening was quite </w:t>
      </w:r>
      <w:r w:rsidR="00114A83" w:rsidRPr="008A5025">
        <w:t>low</w:t>
      </w:r>
      <w:r w:rsidRPr="008A5025">
        <w:t xml:space="preserve">, 49% but growing across years due to increasing awareness on </w:t>
      </w:r>
      <w:proofErr w:type="spellStart"/>
      <w:r w:rsidRPr="008A5025">
        <w:t>ChD</w:t>
      </w:r>
      <w:proofErr w:type="spellEnd"/>
      <w:r w:rsidRPr="008A5025">
        <w:t xml:space="preserve"> (very low before 2010). No case of </w:t>
      </w:r>
      <w:proofErr w:type="spellStart"/>
      <w:r w:rsidRPr="008A5025">
        <w:t>ChD</w:t>
      </w:r>
      <w:proofErr w:type="spellEnd"/>
      <w:r w:rsidRPr="008A5025">
        <w:t xml:space="preserve"> have been detected. The Centre promoted also pregnant women screening at </w:t>
      </w:r>
      <w:proofErr w:type="spellStart"/>
      <w:r w:rsidRPr="008A5025">
        <w:t>Mangiagalli</w:t>
      </w:r>
      <w:proofErr w:type="spellEnd"/>
      <w:r w:rsidRPr="008A5025">
        <w:t xml:space="preserve"> Clinic in Milan (around 6000 deliveries every year) with a rate of 1,4% of </w:t>
      </w:r>
      <w:proofErr w:type="spellStart"/>
      <w:r w:rsidRPr="008A5025">
        <w:t>ChD</w:t>
      </w:r>
      <w:proofErr w:type="spellEnd"/>
      <w:r w:rsidRPr="008A5025">
        <w:t xml:space="preserve"> positives and among other LA </w:t>
      </w:r>
      <w:r w:rsidR="00114A83" w:rsidRPr="008A5025">
        <w:t xml:space="preserve">pregnant women </w:t>
      </w:r>
      <w:r w:rsidRPr="008A5025">
        <w:t>during community sessions of screening (0/18, 0%).</w:t>
      </w:r>
    </w:p>
    <w:p w:rsidR="00EB4782" w:rsidRPr="008A5025" w:rsidRDefault="00EB4782" w:rsidP="008A5025">
      <w:pPr>
        <w:jc w:val="both"/>
      </w:pPr>
      <w:r w:rsidRPr="008A5025">
        <w:t xml:space="preserve">By the end of 2017 (from 2012) around 300 pregnant women have been screened in Tuscany Region for </w:t>
      </w:r>
      <w:proofErr w:type="spellStart"/>
      <w:r w:rsidRPr="008A5025">
        <w:t>ChD</w:t>
      </w:r>
      <w:proofErr w:type="spellEnd"/>
      <w:r w:rsidRPr="008A5025">
        <w:t>. The estimated coverage is 13% region</w:t>
      </w:r>
      <w:r w:rsidR="00114A83" w:rsidRPr="008A5025">
        <w:t xml:space="preserve"> </w:t>
      </w:r>
      <w:r w:rsidRPr="008A5025">
        <w:t xml:space="preserve">wide, 71% at </w:t>
      </w:r>
      <w:r w:rsidR="007F06EF" w:rsidRPr="008A5025">
        <w:t xml:space="preserve">the </w:t>
      </w:r>
      <w:proofErr w:type="spellStart"/>
      <w:r w:rsidRPr="008A5025">
        <w:t>Careggi</w:t>
      </w:r>
      <w:proofErr w:type="spellEnd"/>
      <w:r w:rsidRPr="008A5025">
        <w:t xml:space="preserve"> </w:t>
      </w:r>
      <w:r w:rsidR="007F06EF" w:rsidRPr="008A5025">
        <w:t>University-</w:t>
      </w:r>
      <w:r w:rsidRPr="008A5025">
        <w:t xml:space="preserve">Hospital (the </w:t>
      </w:r>
      <w:r w:rsidR="007F06EF" w:rsidRPr="008A5025">
        <w:t>centre who promoted and first implemented the screening</w:t>
      </w:r>
      <w:r w:rsidRPr="008A5025">
        <w:t xml:space="preserve">); 3 women were </w:t>
      </w:r>
      <w:proofErr w:type="spellStart"/>
      <w:r w:rsidRPr="008A5025">
        <w:t>ChD</w:t>
      </w:r>
      <w:proofErr w:type="spellEnd"/>
      <w:r w:rsidRPr="008A5025">
        <w:t xml:space="preserve"> positive (1%) and </w:t>
      </w:r>
      <w:r w:rsidR="00C66ED4" w:rsidRPr="008A5025">
        <w:t xml:space="preserve">all the </w:t>
      </w:r>
      <w:r w:rsidR="00114A83" w:rsidRPr="008A5025">
        <w:t>six</w:t>
      </w:r>
      <w:r w:rsidRPr="008A5025">
        <w:t xml:space="preserve"> “exposed” children</w:t>
      </w:r>
      <w:r w:rsidR="00114A83" w:rsidRPr="008A5025">
        <w:t xml:space="preserve"> (the three women had one, two and three children respectively)</w:t>
      </w:r>
      <w:r w:rsidRPr="008A5025">
        <w:t xml:space="preserve"> have been </w:t>
      </w:r>
      <w:r w:rsidR="00114A83" w:rsidRPr="008A5025">
        <w:t xml:space="preserve">followed-up and all were </w:t>
      </w:r>
      <w:proofErr w:type="spellStart"/>
      <w:r w:rsidR="00114A83" w:rsidRPr="008A5025">
        <w:t>seroreverted</w:t>
      </w:r>
      <w:proofErr w:type="spellEnd"/>
      <w:r w:rsidR="00114A83" w:rsidRPr="008A5025">
        <w:t xml:space="preserve"> after birth</w:t>
      </w:r>
      <w:r w:rsidRPr="008A5025">
        <w:t>.</w:t>
      </w:r>
    </w:p>
    <w:p w:rsidR="005759AD" w:rsidRPr="008A5025" w:rsidRDefault="005759AD" w:rsidP="008A5025">
      <w:pPr>
        <w:jc w:val="both"/>
      </w:pPr>
      <w:r w:rsidRPr="008A5025">
        <w:t>By the end of 2017, during a period of 3 years in Bergamo Province Hospitals 387 deliveries of 376 women have been followed with a mean screening coverag</w:t>
      </w:r>
      <w:r w:rsidR="00C66ED4" w:rsidRPr="008A5025">
        <w:t>e</w:t>
      </w:r>
      <w:r w:rsidRPr="008A5025">
        <w:t xml:space="preserve"> for </w:t>
      </w:r>
      <w:proofErr w:type="spellStart"/>
      <w:r w:rsidRPr="008A5025">
        <w:t>ChD</w:t>
      </w:r>
      <w:proofErr w:type="spellEnd"/>
      <w:r w:rsidRPr="008A5025">
        <w:t xml:space="preserve"> of 85.6%; 28 pregnant women resulted </w:t>
      </w:r>
      <w:proofErr w:type="spellStart"/>
      <w:r w:rsidRPr="008A5025">
        <w:t>ChD</w:t>
      </w:r>
      <w:proofErr w:type="spellEnd"/>
      <w:r w:rsidRPr="008A5025">
        <w:t xml:space="preserve"> positive (8.7% prevalence) giving birth to 29 </w:t>
      </w:r>
      <w:proofErr w:type="spellStart"/>
      <w:r w:rsidRPr="008A5025">
        <w:t>offsprings</w:t>
      </w:r>
      <w:proofErr w:type="spellEnd"/>
      <w:r w:rsidRPr="008A5025">
        <w:t xml:space="preserve"> (one pair of twins)</w:t>
      </w:r>
      <w:r w:rsidR="00EB4782" w:rsidRPr="008A5025">
        <w:t xml:space="preserve">; transmission rate for </w:t>
      </w:r>
      <w:proofErr w:type="spellStart"/>
      <w:r w:rsidR="00EB4782" w:rsidRPr="008A5025">
        <w:t>ChD</w:t>
      </w:r>
      <w:proofErr w:type="spellEnd"/>
      <w:r w:rsidR="00EB4782" w:rsidRPr="008A5025">
        <w:t xml:space="preserve"> was 4.3% (1/23) and adherence rate to follow-up was 88.5%.</w:t>
      </w:r>
    </w:p>
    <w:p w:rsidR="00EF0020" w:rsidRPr="008A5025" w:rsidRDefault="00EF0020" w:rsidP="008A5025">
      <w:pPr>
        <w:jc w:val="both"/>
        <w:rPr>
          <w:b/>
        </w:rPr>
      </w:pPr>
      <w:r w:rsidRPr="008A5025">
        <w:rPr>
          <w:b/>
        </w:rPr>
        <w:t>-        Epidemiological context and health system</w:t>
      </w:r>
    </w:p>
    <w:p w:rsidR="00351433" w:rsidRPr="008A5025" w:rsidRDefault="006755B6" w:rsidP="008A5025">
      <w:pPr>
        <w:jc w:val="both"/>
      </w:pPr>
      <w:r w:rsidRPr="008A5025">
        <w:rPr>
          <w:noProof/>
          <w:lang w:val="it-IT" w:eastAsia="it-IT"/>
        </w:rPr>
        <w:drawing>
          <wp:anchor distT="0" distB="0" distL="114300" distR="114300" simplePos="0" relativeHeight="251659264" behindDoc="0" locked="0" layoutInCell="1" allowOverlap="1" wp14:anchorId="5F60F2B7" wp14:editId="254C368A">
            <wp:simplePos x="0" y="0"/>
            <wp:positionH relativeFrom="column">
              <wp:posOffset>3244215</wp:posOffset>
            </wp:positionH>
            <wp:positionV relativeFrom="paragraph">
              <wp:posOffset>700405</wp:posOffset>
            </wp:positionV>
            <wp:extent cx="2742565" cy="2966720"/>
            <wp:effectExtent l="0" t="0" r="635" b="5080"/>
            <wp:wrapSquare wrapText="bothSides"/>
            <wp:docPr id="3" name="Immagine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ve="http://schemas.openxmlformats.org/markup-compatibility/2006" id="{98F294E9-BFFE-4274-9C37-AA930EDF19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ve="http://schemas.openxmlformats.org/markup-compatibility/2006" id="{98F294E9-BFFE-4274-9C37-AA930EDF19E4}"/>
                        </a:ext>
                      </a:extLst>
                    </pic:cNvPr>
                    <pic:cNvPicPr>
                      <a:picLocks noChangeAspect="1"/>
                    </pic:cNvPicPr>
                  </pic:nvPicPr>
                  <pic:blipFill>
                    <a:blip r:embed="rId7" cstate="print"/>
                    <a:stretch>
                      <a:fillRect/>
                    </a:stretch>
                  </pic:blipFill>
                  <pic:spPr>
                    <a:xfrm>
                      <a:off x="0" y="0"/>
                      <a:ext cx="2742565" cy="2966720"/>
                    </a:xfrm>
                    <a:prstGeom prst="rect">
                      <a:avLst/>
                    </a:prstGeom>
                  </pic:spPr>
                </pic:pic>
              </a:graphicData>
            </a:graphic>
          </wp:anchor>
        </w:drawing>
      </w:r>
      <w:r w:rsidR="00A452B9" w:rsidRPr="008A5025">
        <w:t xml:space="preserve">Italy </w:t>
      </w:r>
      <w:r w:rsidR="00351433" w:rsidRPr="008A5025">
        <w:t>is hosting around 500</w:t>
      </w:r>
      <w:r w:rsidR="00C66ED4" w:rsidRPr="008A5025">
        <w:t>,</w:t>
      </w:r>
      <w:r w:rsidR="00351433" w:rsidRPr="008A5025">
        <w:t xml:space="preserve">000 </w:t>
      </w:r>
      <w:r w:rsidR="00C66ED4" w:rsidRPr="008A5025">
        <w:t>LA</w:t>
      </w:r>
      <w:r w:rsidR="00351433" w:rsidRPr="008A5025">
        <w:t xml:space="preserve"> migrants by the end of 2016; the documented migrant are 352824 at 31/12/2016. </w:t>
      </w:r>
      <w:r w:rsidR="00C66ED4" w:rsidRPr="008A5025">
        <w:t>LA</w:t>
      </w:r>
      <w:r w:rsidR="00351433" w:rsidRPr="008A5025">
        <w:t xml:space="preserve"> migrants to Italy are mainly from Peru and Ecuador</w:t>
      </w:r>
      <w:r w:rsidRPr="008A5025">
        <w:t>, see figures:</w:t>
      </w:r>
    </w:p>
    <w:p w:rsidR="006755B6" w:rsidRPr="008A5025" w:rsidRDefault="006755B6" w:rsidP="008A5025">
      <w:pPr>
        <w:jc w:val="both"/>
      </w:pPr>
      <w:r w:rsidRPr="008A5025">
        <w:rPr>
          <w:noProof/>
          <w:lang w:val="it-IT" w:eastAsia="it-IT"/>
        </w:rPr>
        <w:drawing>
          <wp:anchor distT="0" distB="0" distL="114300" distR="114300" simplePos="0" relativeHeight="251660288" behindDoc="0" locked="0" layoutInCell="1" allowOverlap="1" wp14:anchorId="544BE82C" wp14:editId="7F16CDFA">
            <wp:simplePos x="0" y="0"/>
            <wp:positionH relativeFrom="column">
              <wp:posOffset>-635</wp:posOffset>
            </wp:positionH>
            <wp:positionV relativeFrom="paragraph">
              <wp:posOffset>216535</wp:posOffset>
            </wp:positionV>
            <wp:extent cx="2990215" cy="1638300"/>
            <wp:effectExtent l="0" t="0" r="635" b="0"/>
            <wp:wrapSquare wrapText="bothSides"/>
            <wp:docPr id="4" name="Immagine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ve="http://schemas.openxmlformats.org/markup-compatibility/2006" id="{DFF96FC9-0C18-430A-964E-DC5CD81CF4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ve="http://schemas.openxmlformats.org/markup-compatibility/2006" id="{DFF96FC9-0C18-430A-964E-DC5CD81CF4BE}"/>
                        </a:ext>
                      </a:extLst>
                    </pic:cNvPr>
                    <pic:cNvPicPr>
                      <a:picLocks noChangeAspect="1"/>
                    </pic:cNvPicPr>
                  </pic:nvPicPr>
                  <pic:blipFill>
                    <a:blip r:embed="rId8" cstate="print"/>
                    <a:stretch>
                      <a:fillRect/>
                    </a:stretch>
                  </pic:blipFill>
                  <pic:spPr>
                    <a:xfrm>
                      <a:off x="0" y="0"/>
                      <a:ext cx="2990215" cy="1638300"/>
                    </a:xfrm>
                    <a:prstGeom prst="rect">
                      <a:avLst/>
                    </a:prstGeom>
                  </pic:spPr>
                </pic:pic>
              </a:graphicData>
            </a:graphic>
          </wp:anchor>
        </w:drawing>
      </w:r>
    </w:p>
    <w:p w:rsidR="006755B6" w:rsidRPr="008A5025" w:rsidRDefault="006755B6" w:rsidP="008A5025">
      <w:pPr>
        <w:jc w:val="both"/>
        <w:rPr>
          <w:b/>
        </w:rPr>
      </w:pPr>
    </w:p>
    <w:p w:rsidR="006755B6" w:rsidRPr="008A5025" w:rsidRDefault="006755B6" w:rsidP="008A5025">
      <w:pPr>
        <w:jc w:val="both"/>
      </w:pPr>
      <w:r w:rsidRPr="008A5025">
        <w:t xml:space="preserve">On the base of </w:t>
      </w:r>
      <w:proofErr w:type="spellStart"/>
      <w:r w:rsidRPr="008A5025">
        <w:t>prevalences</w:t>
      </w:r>
      <w:proofErr w:type="spellEnd"/>
      <w:r w:rsidRPr="008A5025">
        <w:t xml:space="preserve"> of </w:t>
      </w:r>
      <w:proofErr w:type="spellStart"/>
      <w:r w:rsidRPr="008A5025">
        <w:t>ChD</w:t>
      </w:r>
      <w:proofErr w:type="spellEnd"/>
      <w:r w:rsidRPr="008A5025">
        <w:t xml:space="preserve"> (PAHO) and the 2008 data on migrants in Italy around 6</w:t>
      </w:r>
      <w:r w:rsidR="00C66ED4" w:rsidRPr="008A5025">
        <w:t>,</w:t>
      </w:r>
      <w:r w:rsidRPr="008A5025">
        <w:t>000-12</w:t>
      </w:r>
      <w:r w:rsidR="00C66ED4" w:rsidRPr="008A5025">
        <w:t>,</w:t>
      </w:r>
      <w:r w:rsidRPr="008A5025">
        <w:t xml:space="preserve">000 </w:t>
      </w:r>
      <w:r w:rsidRPr="008A5025">
        <w:lastRenderedPageBreak/>
        <w:t xml:space="preserve">cases of </w:t>
      </w:r>
      <w:proofErr w:type="spellStart"/>
      <w:r w:rsidRPr="008A5025">
        <w:t>ChD</w:t>
      </w:r>
      <w:proofErr w:type="spellEnd"/>
      <w:r w:rsidRPr="008A5025">
        <w:t xml:space="preserve"> have been estimated (Angheben et al., </w:t>
      </w:r>
      <w:proofErr w:type="spellStart"/>
      <w:r w:rsidRPr="008A5025">
        <w:t>Eurosurveillance</w:t>
      </w:r>
      <w:proofErr w:type="spellEnd"/>
      <w:r w:rsidRPr="008A5025">
        <w:t>, 2011).</w:t>
      </w:r>
    </w:p>
    <w:p w:rsidR="006755B6" w:rsidRPr="008A5025" w:rsidRDefault="006755B6" w:rsidP="008A5025">
      <w:pPr>
        <w:jc w:val="both"/>
      </w:pPr>
      <w:r w:rsidRPr="008A5025">
        <w:t xml:space="preserve">Estimations on congenital </w:t>
      </w:r>
      <w:proofErr w:type="spellStart"/>
      <w:r w:rsidRPr="008A5025">
        <w:t>ChD</w:t>
      </w:r>
      <w:proofErr w:type="spellEnd"/>
      <w:r w:rsidRPr="008A5025">
        <w:t xml:space="preserve"> are in course.</w:t>
      </w:r>
    </w:p>
    <w:p w:rsidR="006755B6" w:rsidRPr="008A5025" w:rsidRDefault="00C66ED4" w:rsidP="008A5025">
      <w:pPr>
        <w:jc w:val="both"/>
      </w:pPr>
      <w:r w:rsidRPr="008A5025">
        <w:t>LA</w:t>
      </w:r>
      <w:r w:rsidR="006755B6" w:rsidRPr="008A5025">
        <w:t xml:space="preserve"> migration to Italy, as it is for other European countries like Spain is mainly of women living in the 3th to 5th decade of life. Latin Americans in Italy are patchy distributed countrywide with the different communities settled mainly in northern and central Italy and in Rome and its surroundings.</w:t>
      </w:r>
    </w:p>
    <w:p w:rsidR="006755B6" w:rsidRPr="008A5025" w:rsidRDefault="006755B6" w:rsidP="008A5025">
      <w:pPr>
        <w:jc w:val="both"/>
      </w:pPr>
      <w:r w:rsidRPr="008A5025">
        <w:t>The Italian National Health Service was established on December 23rd, 1978 end approved by 85% of the Parliament (L.833/78). The NHS is founded on the principles of universal coverage, social financing through the use of general taxation and non-discriminatory access to the health care services.</w:t>
      </w:r>
    </w:p>
    <w:p w:rsidR="00D82433" w:rsidRPr="008A5025" w:rsidRDefault="006755B6" w:rsidP="008A5025">
      <w:pPr>
        <w:jc w:val="both"/>
      </w:pPr>
      <w:r w:rsidRPr="008A5025">
        <w:t>From this Act onward, the history of public health is solidly integrated with the Constitution of our country, with its civil and democratic growth and its economic and social development. This pathway included the creation of the system based on “healthcare trusts” in order to foster efficiency and managerial skills, ensuring provision of healthcare basket benefits (so called LEA</w:t>
      </w:r>
      <w:r w:rsidR="00C66ED4" w:rsidRPr="008A5025">
        <w:t>, see below</w:t>
      </w:r>
      <w:r w:rsidRPr="008A5025">
        <w:t>) homogenously within the national territory.</w:t>
      </w:r>
      <w:r w:rsidR="00D82433" w:rsidRPr="008A5025">
        <w:t xml:space="preserve"> The Italian National Health System is regionally based and organized at the national, regional, and local levels. Under the Italian constitution, the central government controls the distribution of tax revenue for publicly financed health care and defines a national statutory benefits package to be offered to all residents in every region—the “essential levels of care” (</w:t>
      </w:r>
      <w:proofErr w:type="spellStart"/>
      <w:r w:rsidR="00D82433" w:rsidRPr="008A5025">
        <w:t>livelli</w:t>
      </w:r>
      <w:proofErr w:type="spellEnd"/>
      <w:r w:rsidR="00D82433" w:rsidRPr="008A5025">
        <w:t xml:space="preserve"> </w:t>
      </w:r>
      <w:proofErr w:type="spellStart"/>
      <w:r w:rsidR="00D82433" w:rsidRPr="008A5025">
        <w:t>essenziali</w:t>
      </w:r>
      <w:proofErr w:type="spellEnd"/>
      <w:r w:rsidR="00D82433" w:rsidRPr="008A5025">
        <w:t xml:space="preserve"> di </w:t>
      </w:r>
      <w:proofErr w:type="spellStart"/>
      <w:r w:rsidR="00D82433" w:rsidRPr="008A5025">
        <w:t>assistenza</w:t>
      </w:r>
      <w:proofErr w:type="spellEnd"/>
      <w:r w:rsidR="00D82433" w:rsidRPr="008A5025">
        <w:t xml:space="preserve">, or LEA). The 19 regions and two autonomous provinces have the responsibility to organize and deliver health services through local health units. Regions enjoy significant autonomy in determining the macro structure of their health systems. Local health units are managed by a general manager appointed by the governor of the region, and deliver primary care, hospital care, outpatient specialist care, public health care, and health care related to social care. </w:t>
      </w:r>
    </w:p>
    <w:p w:rsidR="00D82433" w:rsidRPr="008A5025" w:rsidRDefault="00D82433" w:rsidP="008A5025">
      <w:pPr>
        <w:jc w:val="both"/>
      </w:pPr>
      <w:r w:rsidRPr="008A5025">
        <w:t>Primary and inpatient care are free at the point of use. Positive and negative lists are defined using criteria related to medical necessity, effectiveness, human dignity, appropriateness, and efficiency in delivery (LEAs). Positive lists identify services offered to all residents; examples include pharmaceuticals, inpatient care, preventive medicine, outpatient specialist care, home care, primary care, and hospice care. Negative lists identify services not offered to patients, such as cosmetic surgery.</w:t>
      </w:r>
    </w:p>
    <w:p w:rsidR="00D82433" w:rsidRPr="008A5025" w:rsidRDefault="00D82433" w:rsidP="008A5025">
      <w:pPr>
        <w:jc w:val="both"/>
      </w:pPr>
      <w:r w:rsidRPr="008A5025">
        <w:t>Procedures and specialist visits can be prescribed either by a general practitioner (GP) or by a specialist. While there are no user charges for GP consultations and hospital admission stays, patients pay a copayment for each prescribed procedure or specialist visit up to a ceiling determined by law—currently at EUR36.15 (USD48.00).6 Therefore, a patient who receives two separate prescriptions (e.g., for an MRI scan and for a consultation with a gastroenterologist) pays EUR36.15 (USD48.00) for each prescription.</w:t>
      </w:r>
    </w:p>
    <w:p w:rsidR="00D82433" w:rsidRPr="008A5025" w:rsidRDefault="00D82433" w:rsidP="008A5025">
      <w:pPr>
        <w:jc w:val="both"/>
      </w:pPr>
      <w:r w:rsidRPr="008A5025">
        <w:t>To address rising public debt, in July 2011 the government introduced, along with other economic initiatives, an additional EUR10 (USD13) copayment for each prescription. Copayments have also been applied to outpatient drugs at the regional level, and a EUR25 (USD33) copayment has been introduced for “unnecessary” use of emergency services (although some regions have not enforced this copayment). </w:t>
      </w:r>
    </w:p>
    <w:p w:rsidR="00D82433" w:rsidRPr="008A5025" w:rsidRDefault="00D82433" w:rsidP="008A5025">
      <w:pPr>
        <w:jc w:val="both"/>
      </w:pPr>
      <w:proofErr w:type="spellStart"/>
      <w:r w:rsidRPr="008A5025">
        <w:t>ChD</w:t>
      </w:r>
      <w:proofErr w:type="spellEnd"/>
      <w:r w:rsidRPr="008A5025">
        <w:t xml:space="preserve"> is not included in the LEA, therefore </w:t>
      </w:r>
      <w:r w:rsidR="0043502A" w:rsidRPr="008A5025">
        <w:t xml:space="preserve">affected patient should co-pay part of costs of testing, treatment and follow-up unless hospitalized or part of an institutional program. </w:t>
      </w:r>
      <w:proofErr w:type="spellStart"/>
      <w:r w:rsidR="0043502A" w:rsidRPr="008A5025">
        <w:t>ChD</w:t>
      </w:r>
      <w:proofErr w:type="spellEnd"/>
      <w:r w:rsidR="0043502A" w:rsidRPr="008A5025">
        <w:t xml:space="preserve"> testing is not provided for free for pregnant women out of the three programs above-mentioned.</w:t>
      </w:r>
    </w:p>
    <w:p w:rsidR="006755B6" w:rsidRPr="008A5025" w:rsidRDefault="0043502A" w:rsidP="008A5025">
      <w:pPr>
        <w:jc w:val="both"/>
      </w:pPr>
      <w:r w:rsidRPr="008A5025">
        <w:t xml:space="preserve">The regionalization of the National Health System and the fact the </w:t>
      </w:r>
      <w:proofErr w:type="spellStart"/>
      <w:r w:rsidRPr="008A5025">
        <w:t>ChD</w:t>
      </w:r>
      <w:proofErr w:type="spellEnd"/>
      <w:r w:rsidRPr="008A5025">
        <w:t xml:space="preserve"> is not included in the LEAs are major obstacles to a national plan of control of </w:t>
      </w:r>
      <w:proofErr w:type="spellStart"/>
      <w:r w:rsidRPr="008A5025">
        <w:t>ChD</w:t>
      </w:r>
      <w:proofErr w:type="spellEnd"/>
      <w:r w:rsidRPr="008A5025">
        <w:t xml:space="preserve"> vertical transmission. Concerning the other ways of transmission Italy has set up opportune efficacious regulations (blood donors and transplant.</w:t>
      </w:r>
    </w:p>
    <w:p w:rsidR="00EF0020" w:rsidRPr="008A5025" w:rsidRDefault="00EF0020" w:rsidP="008A5025">
      <w:pPr>
        <w:jc w:val="both"/>
        <w:rPr>
          <w:b/>
        </w:rPr>
      </w:pPr>
      <w:r w:rsidRPr="008A5025">
        <w:rPr>
          <w:b/>
        </w:rPr>
        <w:t>-        Legal and normative framework (laws and/or protocols…)</w:t>
      </w:r>
    </w:p>
    <w:p w:rsidR="0043502A" w:rsidRPr="008A5025" w:rsidRDefault="0043502A" w:rsidP="008A5025">
      <w:pPr>
        <w:jc w:val="both"/>
      </w:pPr>
      <w:r w:rsidRPr="008A5025">
        <w:t xml:space="preserve">At Provincial (sub-regional) level in Bergamo since 2013 and at Regional level in Tuscany since 2012, operational protocol and an official regulation have been implemented. In Tuscany control of congenital </w:t>
      </w:r>
      <w:proofErr w:type="spellStart"/>
      <w:r w:rsidRPr="008A5025">
        <w:t>ChD</w:t>
      </w:r>
      <w:proofErr w:type="spellEnd"/>
      <w:r w:rsidRPr="008A5025">
        <w:t xml:space="preserve"> is being regulated by the </w:t>
      </w:r>
      <w:r w:rsidRPr="008A5025">
        <w:rPr>
          <w:lang w:val="pt-BR"/>
        </w:rPr>
        <w:t>Tuscany Regional Deliberation n°489</w:t>
      </w:r>
      <w:r w:rsidRPr="008A5025">
        <w:t xml:space="preserve">, 2012. In the National Sanitary Plan there is no mention on </w:t>
      </w:r>
      <w:proofErr w:type="spellStart"/>
      <w:r w:rsidRPr="008A5025">
        <w:t>ChD</w:t>
      </w:r>
      <w:proofErr w:type="spellEnd"/>
      <w:r w:rsidRPr="008A5025">
        <w:t xml:space="preserve"> control measures.</w:t>
      </w:r>
    </w:p>
    <w:p w:rsidR="00332977" w:rsidRPr="008A5025" w:rsidRDefault="00550BB8" w:rsidP="008A5025">
      <w:pPr>
        <w:jc w:val="both"/>
      </w:pPr>
      <w:r w:rsidRPr="008A5025">
        <w:t xml:space="preserve">In Tuscany according to the </w:t>
      </w:r>
      <w:hyperlink r:id="rId9" w:history="1">
        <w:r w:rsidRPr="008A5025">
          <w:rPr>
            <w:rStyle w:val="Collegamentoipertestuale"/>
            <w:color w:val="auto"/>
            <w:u w:val="none"/>
          </w:rPr>
          <w:t xml:space="preserve">protocol of the </w:t>
        </w:r>
        <w:proofErr w:type="spellStart"/>
        <w:r w:rsidRPr="008A5025">
          <w:rPr>
            <w:rStyle w:val="Collegamentoipertestuale"/>
            <w:color w:val="auto"/>
            <w:u w:val="none"/>
          </w:rPr>
          <w:t>Delibera</w:t>
        </w:r>
        <w:proofErr w:type="spellEnd"/>
        <w:r w:rsidRPr="008A5025">
          <w:rPr>
            <w:rStyle w:val="Collegamentoipertestuale"/>
            <w:color w:val="auto"/>
            <w:u w:val="none"/>
          </w:rPr>
          <w:t xml:space="preserve"> n°489,  4 </w:t>
        </w:r>
        <w:proofErr w:type="spellStart"/>
        <w:r w:rsidRPr="008A5025">
          <w:rPr>
            <w:rStyle w:val="Collegamentoipertestuale"/>
            <w:color w:val="auto"/>
            <w:u w:val="none"/>
          </w:rPr>
          <w:t>Giugno</w:t>
        </w:r>
        <w:proofErr w:type="spellEnd"/>
        <w:r w:rsidRPr="008A5025">
          <w:rPr>
            <w:rStyle w:val="Collegamentoipertestuale"/>
            <w:color w:val="auto"/>
            <w:u w:val="none"/>
          </w:rPr>
          <w:t>, 2012</w:t>
        </w:r>
      </w:hyperlink>
      <w:r w:rsidRPr="008A5025">
        <w:t xml:space="preserve">  during the first free consultation with a midwife at </w:t>
      </w:r>
      <w:r w:rsidR="00674189" w:rsidRPr="008A5025">
        <w:t xml:space="preserve">the </w:t>
      </w:r>
      <w:r w:rsidRPr="008A5025">
        <w:t xml:space="preserve">public </w:t>
      </w:r>
      <w:r w:rsidR="00674189" w:rsidRPr="008A5025">
        <w:t xml:space="preserve">obstetric </w:t>
      </w:r>
      <w:r w:rsidRPr="008A5025">
        <w:t>health service</w:t>
      </w:r>
      <w:r w:rsidR="00674189" w:rsidRPr="008A5025">
        <w:t>,</w:t>
      </w:r>
      <w:r w:rsidRPr="008A5025">
        <w:t xml:space="preserve"> </w:t>
      </w:r>
      <w:r w:rsidR="00674189" w:rsidRPr="008A5025">
        <w:t xml:space="preserve">LA </w:t>
      </w:r>
      <w:r w:rsidRPr="008A5025">
        <w:t>pregnant women should receive</w:t>
      </w:r>
      <w:r w:rsidR="00674189" w:rsidRPr="008A5025">
        <w:t xml:space="preserve"> a flyer with an information note on </w:t>
      </w:r>
      <w:proofErr w:type="spellStart"/>
      <w:r w:rsidR="00674189" w:rsidRPr="008A5025">
        <w:t>ChD</w:t>
      </w:r>
      <w:proofErr w:type="spellEnd"/>
      <w:r w:rsidR="00674189" w:rsidRPr="008A5025">
        <w:t xml:space="preserve"> for her and for his doctor (general practitioner and/or </w:t>
      </w:r>
      <w:proofErr w:type="spellStart"/>
      <w:r w:rsidR="00674189" w:rsidRPr="008A5025">
        <w:t>gynecologist</w:t>
      </w:r>
      <w:proofErr w:type="spellEnd"/>
      <w:r w:rsidR="00674189" w:rsidRPr="008A5025">
        <w:t xml:space="preserve"> </w:t>
      </w:r>
      <w:proofErr w:type="spellStart"/>
      <w:r w:rsidR="00674189" w:rsidRPr="008A5025">
        <w:t>ect</w:t>
      </w:r>
      <w:proofErr w:type="spellEnd"/>
      <w:r w:rsidR="00674189" w:rsidRPr="008A5025">
        <w:t xml:space="preserve">...) reporting the recommendation for the </w:t>
      </w:r>
      <w:r w:rsidR="00455C0E" w:rsidRPr="008A5025">
        <w:t xml:space="preserve">free </w:t>
      </w:r>
      <w:r w:rsidR="00674189" w:rsidRPr="008A5025">
        <w:t xml:space="preserve">serological test for </w:t>
      </w:r>
      <w:proofErr w:type="spellStart"/>
      <w:r w:rsidR="00674189" w:rsidRPr="008A5025">
        <w:rPr>
          <w:i/>
        </w:rPr>
        <w:t>Trypanosoma</w:t>
      </w:r>
      <w:proofErr w:type="spellEnd"/>
      <w:r w:rsidR="00674189" w:rsidRPr="008A5025">
        <w:rPr>
          <w:i/>
        </w:rPr>
        <w:t xml:space="preserve"> </w:t>
      </w:r>
      <w:proofErr w:type="spellStart"/>
      <w:r w:rsidR="00674189" w:rsidRPr="008A5025">
        <w:rPr>
          <w:i/>
        </w:rPr>
        <w:t>cruzi</w:t>
      </w:r>
      <w:proofErr w:type="spellEnd"/>
      <w:r w:rsidR="00674189" w:rsidRPr="008A5025">
        <w:t xml:space="preserve">  in pregnancy. </w:t>
      </w:r>
      <w:r w:rsidR="00332977" w:rsidRPr="008A5025">
        <w:t xml:space="preserve">In case of positivity of </w:t>
      </w:r>
      <w:proofErr w:type="spellStart"/>
      <w:r w:rsidR="00332977" w:rsidRPr="008A5025">
        <w:t>ChD</w:t>
      </w:r>
      <w:proofErr w:type="spellEnd"/>
      <w:r w:rsidR="00332977" w:rsidRPr="008A5025">
        <w:t xml:space="preserve"> test the woman is referred to the </w:t>
      </w:r>
      <w:r w:rsidR="00011EB4" w:rsidRPr="008A5025">
        <w:t xml:space="preserve">Infectious and Tropical Disease Unit, Tuscany Reference Centre of Tropical Diseases, University Hospital </w:t>
      </w:r>
      <w:proofErr w:type="spellStart"/>
      <w:r w:rsidR="00011EB4" w:rsidRPr="008A5025">
        <w:t>Careggi</w:t>
      </w:r>
      <w:proofErr w:type="spellEnd"/>
      <w:r w:rsidR="00011EB4" w:rsidRPr="008A5025">
        <w:t>, Florence</w:t>
      </w:r>
      <w:r w:rsidR="00332977" w:rsidRPr="008A5025">
        <w:t xml:space="preserve"> and the </w:t>
      </w:r>
      <w:proofErr w:type="spellStart"/>
      <w:r w:rsidR="00332977" w:rsidRPr="008A5025">
        <w:t>newborn</w:t>
      </w:r>
      <w:proofErr w:type="spellEnd"/>
      <w:r w:rsidR="00332977" w:rsidRPr="008A5025">
        <w:t xml:space="preserve"> is </w:t>
      </w:r>
      <w:r w:rsidR="00011EB4" w:rsidRPr="008A5025">
        <w:t xml:space="preserve">tested at birth and then followed up at the </w:t>
      </w:r>
      <w:hyperlink r:id="rId10" w:history="1">
        <w:r w:rsidR="00011EB4" w:rsidRPr="008A5025">
          <w:t>Infectious Disease Unit, Meyer University Hospital, Department of Health Science, University of Florence, Florence</w:t>
        </w:r>
      </w:hyperlink>
      <w:r w:rsidR="00332977" w:rsidRPr="008A5025">
        <w:t>.</w:t>
      </w:r>
      <w:r w:rsidR="00AD001B" w:rsidRPr="008A5025">
        <w:t xml:space="preserve"> An updated version of the protocol should be available by the end of this year.</w:t>
      </w:r>
    </w:p>
    <w:p w:rsidR="00332977" w:rsidRPr="008A5025" w:rsidRDefault="00332977" w:rsidP="008A5025">
      <w:pPr>
        <w:jc w:val="both"/>
      </w:pPr>
      <w:r w:rsidRPr="008A5025">
        <w:t xml:space="preserve">In Bergamo province, </w:t>
      </w:r>
      <w:proofErr w:type="spellStart"/>
      <w:r w:rsidRPr="008A5025">
        <w:t>ChD</w:t>
      </w:r>
      <w:proofErr w:type="spellEnd"/>
      <w:r w:rsidRPr="008A5025">
        <w:t xml:space="preserve"> testing if offered to all at risk individuals, particularly to women at low cost. In case of positive result, the staging of the disease, treatment and follow-up (visits) is free. The same for the newborn of a positive woman. </w:t>
      </w:r>
    </w:p>
    <w:p w:rsidR="00332977" w:rsidRPr="008A5025" w:rsidRDefault="00332977" w:rsidP="008A5025">
      <w:pPr>
        <w:jc w:val="both"/>
      </w:pPr>
      <w:r w:rsidRPr="008A5025">
        <w:t xml:space="preserve">In </w:t>
      </w:r>
      <w:proofErr w:type="spellStart"/>
      <w:r w:rsidRPr="008A5025">
        <w:t>Negrar</w:t>
      </w:r>
      <w:proofErr w:type="spellEnd"/>
      <w:r w:rsidRPr="008A5025">
        <w:t>, the hospital offers free testing, treatment and follow-up to all at risk individuals, particularly pregnant women and women in childbearing age.</w:t>
      </w:r>
    </w:p>
    <w:p w:rsidR="00EF0020" w:rsidRPr="008A5025" w:rsidRDefault="00EF0020" w:rsidP="008A5025">
      <w:pPr>
        <w:jc w:val="both"/>
        <w:rPr>
          <w:b/>
        </w:rPr>
      </w:pPr>
      <w:r w:rsidRPr="008A5025">
        <w:rPr>
          <w:b/>
        </w:rPr>
        <w:t>-        Biomedical and psychosocial strategies</w:t>
      </w:r>
    </w:p>
    <w:p w:rsidR="0043502A" w:rsidRPr="008A5025" w:rsidRDefault="00332977" w:rsidP="008A5025">
      <w:pPr>
        <w:jc w:val="both"/>
      </w:pPr>
      <w:r w:rsidRPr="008A5025">
        <w:t xml:space="preserve">Due to the lack a public health strategy for </w:t>
      </w:r>
      <w:proofErr w:type="spellStart"/>
      <w:r w:rsidRPr="008A5025">
        <w:t>ChD</w:t>
      </w:r>
      <w:proofErr w:type="spellEnd"/>
      <w:r w:rsidRPr="008A5025">
        <w:t xml:space="preserve"> control and as a consequence of the request of the Bolivian community settled in Bergamo, the interest of the Italian Society of Tropical medicine and International Health (SIMET) and some Institutions (see above) projects and protocols (see above) have been developed since 2008.</w:t>
      </w:r>
      <w:r w:rsidR="00E93199" w:rsidRPr="008A5025">
        <w:t xml:space="preserve"> As a general comment development of these protocols were inclusive, multidisciplinary and long. Actors were public health officers (local or regional), community representatives, institutional representatives form different disciplines (obstetrics, midwives, </w:t>
      </w:r>
      <w:proofErr w:type="spellStart"/>
      <w:r w:rsidR="00E93199" w:rsidRPr="008A5025">
        <w:t>pediatricians</w:t>
      </w:r>
      <w:proofErr w:type="spellEnd"/>
      <w:r w:rsidR="00E93199" w:rsidRPr="008A5025">
        <w:t xml:space="preserve">, ID specialists, microbiologists…). The Italian </w:t>
      </w:r>
      <w:proofErr w:type="spellStart"/>
      <w:r w:rsidR="00E93199" w:rsidRPr="008A5025">
        <w:t>Associacion</w:t>
      </w:r>
      <w:proofErr w:type="spellEnd"/>
      <w:r w:rsidR="00E93199" w:rsidRPr="008A5025">
        <w:t xml:space="preserve"> against </w:t>
      </w:r>
      <w:proofErr w:type="spellStart"/>
      <w:r w:rsidR="00E93199" w:rsidRPr="008A5025">
        <w:t>ChD</w:t>
      </w:r>
      <w:proofErr w:type="spellEnd"/>
      <w:r w:rsidR="00E93199" w:rsidRPr="008A5025">
        <w:t xml:space="preserve"> (AILMAC, see </w:t>
      </w:r>
      <w:hyperlink r:id="rId11" w:history="1">
        <w:r w:rsidR="00E93199" w:rsidRPr="008A5025">
          <w:rPr>
            <w:rStyle w:val="Collegamentoipertestuale"/>
            <w:color w:val="auto"/>
          </w:rPr>
          <w:t>www.ailmac.it</w:t>
        </w:r>
      </w:hyperlink>
      <w:r w:rsidR="00E93199" w:rsidRPr="008A5025">
        <w:t>) and some NGOs (MSF, OIKOS etc.) were  (and are) active promoters of care protocols.</w:t>
      </w:r>
    </w:p>
    <w:p w:rsidR="00E93199" w:rsidRPr="008A5025" w:rsidRDefault="00E93199" w:rsidP="008A5025">
      <w:pPr>
        <w:jc w:val="both"/>
      </w:pPr>
      <w:r w:rsidRPr="008A5025">
        <w:t xml:space="preserve">Two strategies: one is intended to overcome the non-inclusion of </w:t>
      </w:r>
      <w:proofErr w:type="spellStart"/>
      <w:r w:rsidRPr="008A5025">
        <w:t>ChD</w:t>
      </w:r>
      <w:proofErr w:type="spellEnd"/>
      <w:r w:rsidRPr="008A5025">
        <w:t xml:space="preserve"> in the LEA, therefore is focused on offer of free testing and case management (</w:t>
      </w:r>
      <w:proofErr w:type="spellStart"/>
      <w:r w:rsidRPr="008A5025">
        <w:t>Negrar</w:t>
      </w:r>
      <w:proofErr w:type="spellEnd"/>
      <w:r w:rsidRPr="008A5025">
        <w:t xml:space="preserve">, Bergamo, Tuscany, Rome protocols and laws) as it could be if </w:t>
      </w:r>
      <w:proofErr w:type="spellStart"/>
      <w:r w:rsidRPr="008A5025">
        <w:t>ChD</w:t>
      </w:r>
      <w:proofErr w:type="spellEnd"/>
      <w:r w:rsidRPr="008A5025">
        <w:t xml:space="preserve"> would be included in the LEAs (basket of “essential level of assistance” procedures, approved by </w:t>
      </w:r>
      <w:proofErr w:type="spellStart"/>
      <w:r w:rsidRPr="008A5025">
        <w:t>MoH</w:t>
      </w:r>
      <w:proofErr w:type="spellEnd"/>
      <w:r w:rsidRPr="008A5025">
        <w:t xml:space="preserve"> and financed by the Regions).</w:t>
      </w:r>
    </w:p>
    <w:p w:rsidR="00E93199" w:rsidRDefault="00E93199" w:rsidP="008A5025">
      <w:pPr>
        <w:jc w:val="both"/>
      </w:pPr>
      <w:r w:rsidRPr="008A5025">
        <w:t>The second strategy is based on education (community level and University level for healthcare students and workers), promotion, active case finding through screening campaigns, community level work</w:t>
      </w:r>
      <w:r w:rsidR="00647915" w:rsidRPr="008A5025">
        <w:t>. Hereby the different institution have been implemented or are implementing various initiatives.</w:t>
      </w:r>
      <w:r w:rsidR="00EF4954" w:rsidRPr="008A5025">
        <w:t xml:space="preserve"> </w:t>
      </w:r>
      <w:r w:rsidR="00902168" w:rsidRPr="008A5025">
        <w:t>The use of "smart tools" (</w:t>
      </w:r>
      <w:proofErr w:type="spellStart"/>
      <w:r w:rsidR="00902168" w:rsidRPr="008A5025">
        <w:t>e.i.</w:t>
      </w:r>
      <w:proofErr w:type="spellEnd"/>
      <w:r w:rsidR="00902168" w:rsidRPr="008A5025">
        <w:t xml:space="preserve"> App for smartphone) for health care workers involved in the management of pregnant women to remind and facilitate the implementation of </w:t>
      </w:r>
      <w:proofErr w:type="spellStart"/>
      <w:r w:rsidR="00902168" w:rsidRPr="008A5025">
        <w:t>ChD</w:t>
      </w:r>
      <w:proofErr w:type="spellEnd"/>
      <w:r w:rsidR="00902168" w:rsidRPr="008A5025">
        <w:t xml:space="preserve"> screening in pregnancy is being evaluated in Tuscany.</w:t>
      </w:r>
    </w:p>
    <w:p w:rsidR="00EF0020" w:rsidRPr="008A5025" w:rsidRDefault="00EF0020" w:rsidP="008A5025">
      <w:pPr>
        <w:jc w:val="both"/>
        <w:rPr>
          <w:b/>
        </w:rPr>
      </w:pPr>
      <w:r w:rsidRPr="008A5025">
        <w:rPr>
          <w:b/>
        </w:rPr>
        <w:t>-        Laboratory protocol and internal and external quality control</w:t>
      </w:r>
    </w:p>
    <w:p w:rsidR="004067B0" w:rsidRPr="008A5025" w:rsidRDefault="004067B0" w:rsidP="008A5025">
      <w:pPr>
        <w:jc w:val="both"/>
      </w:pPr>
      <w:r w:rsidRPr="008A5025">
        <w:t xml:space="preserve">Internal quality control is regularly done at the three laboratories of </w:t>
      </w:r>
      <w:proofErr w:type="spellStart"/>
      <w:r w:rsidRPr="008A5025">
        <w:t>Negrar</w:t>
      </w:r>
      <w:proofErr w:type="spellEnd"/>
      <w:r w:rsidRPr="008A5025">
        <w:t xml:space="preserve">, Bergamo and Florence for </w:t>
      </w:r>
      <w:proofErr w:type="spellStart"/>
      <w:r w:rsidRPr="008A5025">
        <w:t>ChD</w:t>
      </w:r>
      <w:proofErr w:type="spellEnd"/>
      <w:r w:rsidRPr="008A5025">
        <w:t xml:space="preserve"> </w:t>
      </w:r>
      <w:proofErr w:type="spellStart"/>
      <w:r w:rsidRPr="008A5025">
        <w:t>serologies</w:t>
      </w:r>
      <w:proofErr w:type="spellEnd"/>
      <w:r w:rsidRPr="008A5025">
        <w:t xml:space="preserve"> (and molecular biology at </w:t>
      </w:r>
      <w:proofErr w:type="spellStart"/>
      <w:r w:rsidRPr="008A5025">
        <w:t>Negrar</w:t>
      </w:r>
      <w:proofErr w:type="spellEnd"/>
      <w:r w:rsidRPr="008A5025">
        <w:t xml:space="preserve"> Centre). For serological diagnosis an </w:t>
      </w:r>
      <w:proofErr w:type="spellStart"/>
      <w:r w:rsidRPr="008A5025">
        <w:t>esternal</w:t>
      </w:r>
      <w:proofErr w:type="spellEnd"/>
      <w:r w:rsidRPr="008A5025">
        <w:t xml:space="preserve"> quality control have been set up since 2013 in </w:t>
      </w:r>
      <w:proofErr w:type="spellStart"/>
      <w:r w:rsidRPr="008A5025">
        <w:t>Negrar</w:t>
      </w:r>
      <w:proofErr w:type="spellEnd"/>
      <w:r w:rsidRPr="008A5025">
        <w:t xml:space="preserve"> and Florence thanks to Brazilian PNCQ service. Bergamo Microbiology Department is following external quality control provided by NEQAS. </w:t>
      </w:r>
    </w:p>
    <w:p w:rsidR="00647915" w:rsidRPr="008A5025" w:rsidRDefault="004067B0" w:rsidP="008A5025">
      <w:pPr>
        <w:jc w:val="both"/>
      </w:pPr>
      <w:r w:rsidRPr="008A5025">
        <w:t xml:space="preserve">The protocol of </w:t>
      </w:r>
      <w:proofErr w:type="spellStart"/>
      <w:r w:rsidRPr="008A5025">
        <w:t>ChD</w:t>
      </w:r>
      <w:proofErr w:type="spellEnd"/>
      <w:r w:rsidRPr="008A5025">
        <w:t xml:space="preserve"> testing is similar to all three above-mentioned facilities: in the clinical practice a high</w:t>
      </w:r>
      <w:r w:rsidR="002013AA" w:rsidRPr="008A5025">
        <w:t>-</w:t>
      </w:r>
      <w:r w:rsidRPr="008A5025">
        <w:t>sensitive test (ELISA or Chemiluminescence) is done, followed by a confirmation test using different technique or antigens. If diagnosis is confirme</w:t>
      </w:r>
      <w:r w:rsidR="002013AA" w:rsidRPr="008A5025">
        <w:t>d</w:t>
      </w:r>
      <w:r w:rsidRPr="008A5025">
        <w:t xml:space="preserve">, patient is referred to </w:t>
      </w:r>
      <w:r w:rsidR="002013AA" w:rsidRPr="008A5025">
        <w:t xml:space="preserve">the clinician for </w:t>
      </w:r>
      <w:proofErr w:type="spellStart"/>
      <w:r w:rsidR="002013AA" w:rsidRPr="008A5025">
        <w:t>ChD</w:t>
      </w:r>
      <w:proofErr w:type="spellEnd"/>
      <w:r w:rsidR="002013AA" w:rsidRPr="008A5025">
        <w:t xml:space="preserve"> work-up and treatment. </w:t>
      </w:r>
      <w:r w:rsidR="00011EB4" w:rsidRPr="008A5025">
        <w:t>Polymerase Chain Reaction (</w:t>
      </w:r>
      <w:r w:rsidR="002013AA" w:rsidRPr="008A5025">
        <w:t>PCR</w:t>
      </w:r>
      <w:r w:rsidR="00011EB4" w:rsidRPr="008A5025">
        <w:t>)</w:t>
      </w:r>
      <w:r w:rsidR="002013AA" w:rsidRPr="008A5025">
        <w:t xml:space="preserve"> is done at </w:t>
      </w:r>
      <w:proofErr w:type="spellStart"/>
      <w:r w:rsidR="002013AA" w:rsidRPr="008A5025">
        <w:t>Negrar</w:t>
      </w:r>
      <w:proofErr w:type="spellEnd"/>
      <w:r w:rsidR="002013AA" w:rsidRPr="008A5025">
        <w:t xml:space="preserve"> Centre (in-house based on </w:t>
      </w:r>
      <w:proofErr w:type="spellStart"/>
      <w:r w:rsidR="002013AA" w:rsidRPr="008A5025">
        <w:t>dr</w:t>
      </w:r>
      <w:proofErr w:type="spellEnd"/>
      <w:r w:rsidR="002013AA" w:rsidRPr="008A5025">
        <w:t xml:space="preserve"> </w:t>
      </w:r>
      <w:proofErr w:type="spellStart"/>
      <w:r w:rsidR="002013AA" w:rsidRPr="008A5025">
        <w:t>Schijman</w:t>
      </w:r>
      <w:proofErr w:type="spellEnd"/>
      <w:r w:rsidR="002013AA" w:rsidRPr="008A5025">
        <w:t xml:space="preserve"> advise) and Florence. For the newborn all protocols provide a clinical evaluation and testing for </w:t>
      </w:r>
      <w:proofErr w:type="spellStart"/>
      <w:r w:rsidR="002013AA" w:rsidRPr="008A5025">
        <w:t>ChD</w:t>
      </w:r>
      <w:proofErr w:type="spellEnd"/>
      <w:r w:rsidR="002013AA" w:rsidRPr="008A5025">
        <w:t xml:space="preserve"> (</w:t>
      </w:r>
      <w:r w:rsidR="00011EB4" w:rsidRPr="008A5025">
        <w:t xml:space="preserve">thin and thick blood smear, </w:t>
      </w:r>
      <w:r w:rsidR="002013AA" w:rsidRPr="008A5025">
        <w:t xml:space="preserve">MHT, PCR when available) at birth and 1-2 months of life, then a serology is done at 9 months and if positive but decreasing </w:t>
      </w:r>
      <w:proofErr w:type="spellStart"/>
      <w:r w:rsidR="002013AA" w:rsidRPr="008A5025">
        <w:t>titer</w:t>
      </w:r>
      <w:proofErr w:type="spellEnd"/>
      <w:r w:rsidR="002013AA" w:rsidRPr="008A5025">
        <w:t xml:space="preserve"> at 12 months, thus giving the opportunity to clinicians to decide to treat or not to treat the child. </w:t>
      </w:r>
    </w:p>
    <w:p w:rsidR="00252FC9" w:rsidRPr="008A5025" w:rsidRDefault="00EF0020" w:rsidP="008A5025">
      <w:pPr>
        <w:jc w:val="both"/>
        <w:rPr>
          <w:b/>
        </w:rPr>
      </w:pPr>
      <w:r w:rsidRPr="008A5025">
        <w:rPr>
          <w:b/>
        </w:rPr>
        <w:t>-        Information system, epidemiological variables and case notification</w:t>
      </w:r>
    </w:p>
    <w:p w:rsidR="000B7A3A" w:rsidRPr="008D315B" w:rsidRDefault="002013AA" w:rsidP="008D315B">
      <w:pPr>
        <w:jc w:val="both"/>
        <w:rPr>
          <w:rFonts w:eastAsiaTheme="minorHAnsi"/>
          <w:lang w:eastAsia="en-US"/>
        </w:rPr>
      </w:pPr>
      <w:r w:rsidRPr="008D315B">
        <w:rPr>
          <w:rFonts w:eastAsiaTheme="minorHAnsi"/>
          <w:lang w:eastAsia="en-US"/>
        </w:rPr>
        <w:t xml:space="preserve">In Italy, infectious disease surveillance is based on the Mandatory Reporting System that, pursuant to Ministerial Decree of 15 December 1990 - “Infectious and Transmissible Diseases Information System”, involves the mandatory reporting by doctors of cases of the diseases listed in the same decree. </w:t>
      </w:r>
      <w:r w:rsidR="000B7A3A" w:rsidRPr="008D315B">
        <w:rPr>
          <w:rFonts w:eastAsiaTheme="minorHAnsi"/>
          <w:lang w:eastAsia="en-US"/>
        </w:rPr>
        <w:t xml:space="preserve">Chagas disease is not in the list. Clinicians can notify a case among the “others” position. </w:t>
      </w:r>
    </w:p>
    <w:p w:rsidR="000B7A3A" w:rsidRPr="008D315B" w:rsidRDefault="000B7A3A" w:rsidP="008D315B">
      <w:pPr>
        <w:jc w:val="both"/>
        <w:rPr>
          <w:rFonts w:eastAsiaTheme="minorHAnsi"/>
          <w:lang w:eastAsia="en-US"/>
        </w:rPr>
      </w:pPr>
      <w:r w:rsidRPr="008D315B">
        <w:rPr>
          <w:rFonts w:eastAsiaTheme="minorHAnsi"/>
          <w:lang w:eastAsia="en-US"/>
        </w:rPr>
        <w:t xml:space="preserve">In the framework of congenital </w:t>
      </w:r>
      <w:proofErr w:type="spellStart"/>
      <w:r w:rsidRPr="008D315B">
        <w:rPr>
          <w:rFonts w:eastAsiaTheme="minorHAnsi"/>
          <w:lang w:eastAsia="en-US"/>
        </w:rPr>
        <w:t>ChD</w:t>
      </w:r>
      <w:proofErr w:type="spellEnd"/>
      <w:r w:rsidRPr="008D315B">
        <w:rPr>
          <w:rFonts w:eastAsiaTheme="minorHAnsi"/>
          <w:lang w:eastAsia="en-US"/>
        </w:rPr>
        <w:t xml:space="preserve"> control, an information system and case notifications would be advisable. In the programs of Bergamo Province and Tuscany Region a regular report is done thus realizing a surveillance on the issue. This should be duplicated also in the other regions. </w:t>
      </w:r>
    </w:p>
    <w:p w:rsidR="000B7A3A" w:rsidRPr="008D315B" w:rsidRDefault="000B7A3A" w:rsidP="008D315B">
      <w:pPr>
        <w:jc w:val="both"/>
        <w:rPr>
          <w:rFonts w:eastAsiaTheme="minorHAnsi"/>
          <w:lang w:eastAsia="en-US"/>
        </w:rPr>
      </w:pPr>
      <w:r w:rsidRPr="008D315B">
        <w:rPr>
          <w:rFonts w:eastAsiaTheme="minorHAnsi"/>
          <w:lang w:eastAsia="en-US"/>
        </w:rPr>
        <w:t xml:space="preserve">A special flow form for some mandatory reporting has been set up in Italy (see meningitis or malaria). A special flow form for congenital </w:t>
      </w:r>
      <w:proofErr w:type="spellStart"/>
      <w:r w:rsidRPr="008D315B">
        <w:rPr>
          <w:rFonts w:eastAsiaTheme="minorHAnsi"/>
          <w:lang w:eastAsia="en-US"/>
        </w:rPr>
        <w:t>ChD</w:t>
      </w:r>
      <w:proofErr w:type="spellEnd"/>
      <w:r w:rsidRPr="008D315B">
        <w:rPr>
          <w:rFonts w:eastAsiaTheme="minorHAnsi"/>
          <w:lang w:eastAsia="en-US"/>
        </w:rPr>
        <w:t xml:space="preserve"> could be an interesting tool in this direction.</w:t>
      </w:r>
    </w:p>
    <w:p w:rsidR="002013AA" w:rsidRPr="002013AA" w:rsidRDefault="002013AA" w:rsidP="00EF0020"/>
    <w:sectPr w:rsidR="002013AA" w:rsidRPr="002013AA" w:rsidSect="006807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uli">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D060F"/>
    <w:multiLevelType w:val="hybridMultilevel"/>
    <w:tmpl w:val="512EA58E"/>
    <w:lvl w:ilvl="0" w:tplc="C64E5338">
      <w:start w:val="1"/>
      <w:numFmt w:val="bullet"/>
      <w:lvlText w:val="▪"/>
      <w:lvlJc w:val="left"/>
      <w:pPr>
        <w:tabs>
          <w:tab w:val="num" w:pos="720"/>
        </w:tabs>
        <w:ind w:left="720" w:hanging="360"/>
      </w:pPr>
      <w:rPr>
        <w:rFonts w:ascii="Muli" w:hAnsi="Muli" w:hint="default"/>
      </w:rPr>
    </w:lvl>
    <w:lvl w:ilvl="1" w:tplc="F8EE6E86" w:tentative="1">
      <w:start w:val="1"/>
      <w:numFmt w:val="bullet"/>
      <w:lvlText w:val="▪"/>
      <w:lvlJc w:val="left"/>
      <w:pPr>
        <w:tabs>
          <w:tab w:val="num" w:pos="1440"/>
        </w:tabs>
        <w:ind w:left="1440" w:hanging="360"/>
      </w:pPr>
      <w:rPr>
        <w:rFonts w:ascii="Muli" w:hAnsi="Muli" w:hint="default"/>
      </w:rPr>
    </w:lvl>
    <w:lvl w:ilvl="2" w:tplc="75C0C906" w:tentative="1">
      <w:start w:val="1"/>
      <w:numFmt w:val="bullet"/>
      <w:lvlText w:val="▪"/>
      <w:lvlJc w:val="left"/>
      <w:pPr>
        <w:tabs>
          <w:tab w:val="num" w:pos="2160"/>
        </w:tabs>
        <w:ind w:left="2160" w:hanging="360"/>
      </w:pPr>
      <w:rPr>
        <w:rFonts w:ascii="Muli" w:hAnsi="Muli" w:hint="default"/>
      </w:rPr>
    </w:lvl>
    <w:lvl w:ilvl="3" w:tplc="7994BC60" w:tentative="1">
      <w:start w:val="1"/>
      <w:numFmt w:val="bullet"/>
      <w:lvlText w:val="▪"/>
      <w:lvlJc w:val="left"/>
      <w:pPr>
        <w:tabs>
          <w:tab w:val="num" w:pos="2880"/>
        </w:tabs>
        <w:ind w:left="2880" w:hanging="360"/>
      </w:pPr>
      <w:rPr>
        <w:rFonts w:ascii="Muli" w:hAnsi="Muli" w:hint="default"/>
      </w:rPr>
    </w:lvl>
    <w:lvl w:ilvl="4" w:tplc="52504BDE" w:tentative="1">
      <w:start w:val="1"/>
      <w:numFmt w:val="bullet"/>
      <w:lvlText w:val="▪"/>
      <w:lvlJc w:val="left"/>
      <w:pPr>
        <w:tabs>
          <w:tab w:val="num" w:pos="3600"/>
        </w:tabs>
        <w:ind w:left="3600" w:hanging="360"/>
      </w:pPr>
      <w:rPr>
        <w:rFonts w:ascii="Muli" w:hAnsi="Muli" w:hint="default"/>
      </w:rPr>
    </w:lvl>
    <w:lvl w:ilvl="5" w:tplc="E3027718" w:tentative="1">
      <w:start w:val="1"/>
      <w:numFmt w:val="bullet"/>
      <w:lvlText w:val="▪"/>
      <w:lvlJc w:val="left"/>
      <w:pPr>
        <w:tabs>
          <w:tab w:val="num" w:pos="4320"/>
        </w:tabs>
        <w:ind w:left="4320" w:hanging="360"/>
      </w:pPr>
      <w:rPr>
        <w:rFonts w:ascii="Muli" w:hAnsi="Muli" w:hint="default"/>
      </w:rPr>
    </w:lvl>
    <w:lvl w:ilvl="6" w:tplc="3510FC12" w:tentative="1">
      <w:start w:val="1"/>
      <w:numFmt w:val="bullet"/>
      <w:lvlText w:val="▪"/>
      <w:lvlJc w:val="left"/>
      <w:pPr>
        <w:tabs>
          <w:tab w:val="num" w:pos="5040"/>
        </w:tabs>
        <w:ind w:left="5040" w:hanging="360"/>
      </w:pPr>
      <w:rPr>
        <w:rFonts w:ascii="Muli" w:hAnsi="Muli" w:hint="default"/>
      </w:rPr>
    </w:lvl>
    <w:lvl w:ilvl="7" w:tplc="C37C242C" w:tentative="1">
      <w:start w:val="1"/>
      <w:numFmt w:val="bullet"/>
      <w:lvlText w:val="▪"/>
      <w:lvlJc w:val="left"/>
      <w:pPr>
        <w:tabs>
          <w:tab w:val="num" w:pos="5760"/>
        </w:tabs>
        <w:ind w:left="5760" w:hanging="360"/>
      </w:pPr>
      <w:rPr>
        <w:rFonts w:ascii="Muli" w:hAnsi="Muli" w:hint="default"/>
      </w:rPr>
    </w:lvl>
    <w:lvl w:ilvl="8" w:tplc="F0EC26B8" w:tentative="1">
      <w:start w:val="1"/>
      <w:numFmt w:val="bullet"/>
      <w:lvlText w:val="▪"/>
      <w:lvlJc w:val="left"/>
      <w:pPr>
        <w:tabs>
          <w:tab w:val="num" w:pos="6480"/>
        </w:tabs>
        <w:ind w:left="6480" w:hanging="360"/>
      </w:pPr>
      <w:rPr>
        <w:rFonts w:ascii="Muli" w:hAnsi="Muli" w:hint="default"/>
      </w:rPr>
    </w:lvl>
  </w:abstractNum>
  <w:abstractNum w:abstractNumId="1">
    <w:nsid w:val="539D6982"/>
    <w:multiLevelType w:val="hybridMultilevel"/>
    <w:tmpl w:val="BE6CE6D8"/>
    <w:lvl w:ilvl="0" w:tplc="67E2C5AC">
      <w:start w:val="1"/>
      <w:numFmt w:val="bullet"/>
      <w:lvlText w:val="▪"/>
      <w:lvlJc w:val="left"/>
      <w:pPr>
        <w:tabs>
          <w:tab w:val="num" w:pos="720"/>
        </w:tabs>
        <w:ind w:left="720" w:hanging="360"/>
      </w:pPr>
      <w:rPr>
        <w:rFonts w:ascii="Muli" w:hAnsi="Muli" w:hint="default"/>
      </w:rPr>
    </w:lvl>
    <w:lvl w:ilvl="1" w:tplc="ED465170" w:tentative="1">
      <w:start w:val="1"/>
      <w:numFmt w:val="bullet"/>
      <w:lvlText w:val="▪"/>
      <w:lvlJc w:val="left"/>
      <w:pPr>
        <w:tabs>
          <w:tab w:val="num" w:pos="1440"/>
        </w:tabs>
        <w:ind w:left="1440" w:hanging="360"/>
      </w:pPr>
      <w:rPr>
        <w:rFonts w:ascii="Muli" w:hAnsi="Muli" w:hint="default"/>
      </w:rPr>
    </w:lvl>
    <w:lvl w:ilvl="2" w:tplc="B9125696" w:tentative="1">
      <w:start w:val="1"/>
      <w:numFmt w:val="bullet"/>
      <w:lvlText w:val="▪"/>
      <w:lvlJc w:val="left"/>
      <w:pPr>
        <w:tabs>
          <w:tab w:val="num" w:pos="2160"/>
        </w:tabs>
        <w:ind w:left="2160" w:hanging="360"/>
      </w:pPr>
      <w:rPr>
        <w:rFonts w:ascii="Muli" w:hAnsi="Muli" w:hint="default"/>
      </w:rPr>
    </w:lvl>
    <w:lvl w:ilvl="3" w:tplc="2AE64426" w:tentative="1">
      <w:start w:val="1"/>
      <w:numFmt w:val="bullet"/>
      <w:lvlText w:val="▪"/>
      <w:lvlJc w:val="left"/>
      <w:pPr>
        <w:tabs>
          <w:tab w:val="num" w:pos="2880"/>
        </w:tabs>
        <w:ind w:left="2880" w:hanging="360"/>
      </w:pPr>
      <w:rPr>
        <w:rFonts w:ascii="Muli" w:hAnsi="Muli" w:hint="default"/>
      </w:rPr>
    </w:lvl>
    <w:lvl w:ilvl="4" w:tplc="C2969C00" w:tentative="1">
      <w:start w:val="1"/>
      <w:numFmt w:val="bullet"/>
      <w:lvlText w:val="▪"/>
      <w:lvlJc w:val="left"/>
      <w:pPr>
        <w:tabs>
          <w:tab w:val="num" w:pos="3600"/>
        </w:tabs>
        <w:ind w:left="3600" w:hanging="360"/>
      </w:pPr>
      <w:rPr>
        <w:rFonts w:ascii="Muli" w:hAnsi="Muli" w:hint="default"/>
      </w:rPr>
    </w:lvl>
    <w:lvl w:ilvl="5" w:tplc="3B000064" w:tentative="1">
      <w:start w:val="1"/>
      <w:numFmt w:val="bullet"/>
      <w:lvlText w:val="▪"/>
      <w:lvlJc w:val="left"/>
      <w:pPr>
        <w:tabs>
          <w:tab w:val="num" w:pos="4320"/>
        </w:tabs>
        <w:ind w:left="4320" w:hanging="360"/>
      </w:pPr>
      <w:rPr>
        <w:rFonts w:ascii="Muli" w:hAnsi="Muli" w:hint="default"/>
      </w:rPr>
    </w:lvl>
    <w:lvl w:ilvl="6" w:tplc="68C8443A" w:tentative="1">
      <w:start w:val="1"/>
      <w:numFmt w:val="bullet"/>
      <w:lvlText w:val="▪"/>
      <w:lvlJc w:val="left"/>
      <w:pPr>
        <w:tabs>
          <w:tab w:val="num" w:pos="5040"/>
        </w:tabs>
        <w:ind w:left="5040" w:hanging="360"/>
      </w:pPr>
      <w:rPr>
        <w:rFonts w:ascii="Muli" w:hAnsi="Muli" w:hint="default"/>
      </w:rPr>
    </w:lvl>
    <w:lvl w:ilvl="7" w:tplc="F12492DA" w:tentative="1">
      <w:start w:val="1"/>
      <w:numFmt w:val="bullet"/>
      <w:lvlText w:val="▪"/>
      <w:lvlJc w:val="left"/>
      <w:pPr>
        <w:tabs>
          <w:tab w:val="num" w:pos="5760"/>
        </w:tabs>
        <w:ind w:left="5760" w:hanging="360"/>
      </w:pPr>
      <w:rPr>
        <w:rFonts w:ascii="Muli" w:hAnsi="Muli" w:hint="default"/>
      </w:rPr>
    </w:lvl>
    <w:lvl w:ilvl="8" w:tplc="40820AB8" w:tentative="1">
      <w:start w:val="1"/>
      <w:numFmt w:val="bullet"/>
      <w:lvlText w:val="▪"/>
      <w:lvlJc w:val="left"/>
      <w:pPr>
        <w:tabs>
          <w:tab w:val="num" w:pos="6480"/>
        </w:tabs>
        <w:ind w:left="6480" w:hanging="360"/>
      </w:pPr>
      <w:rPr>
        <w:rFonts w:ascii="Muli" w:hAnsi="Muli" w:hint="default"/>
      </w:rPr>
    </w:lvl>
  </w:abstractNum>
  <w:abstractNum w:abstractNumId="2">
    <w:nsid w:val="71E41296"/>
    <w:multiLevelType w:val="hybridMultilevel"/>
    <w:tmpl w:val="88F47724"/>
    <w:lvl w:ilvl="0" w:tplc="454CDF9C">
      <w:start w:val="1"/>
      <w:numFmt w:val="bullet"/>
      <w:lvlText w:val=""/>
      <w:lvlJc w:val="left"/>
      <w:pPr>
        <w:tabs>
          <w:tab w:val="num" w:pos="720"/>
        </w:tabs>
        <w:ind w:left="720" w:hanging="360"/>
      </w:pPr>
      <w:rPr>
        <w:rFonts w:ascii="Wingdings" w:hAnsi="Wingdings" w:hint="default"/>
      </w:rPr>
    </w:lvl>
    <w:lvl w:ilvl="1" w:tplc="ED80D50E" w:tentative="1">
      <w:start w:val="1"/>
      <w:numFmt w:val="bullet"/>
      <w:lvlText w:val=""/>
      <w:lvlJc w:val="left"/>
      <w:pPr>
        <w:tabs>
          <w:tab w:val="num" w:pos="1440"/>
        </w:tabs>
        <w:ind w:left="1440" w:hanging="360"/>
      </w:pPr>
      <w:rPr>
        <w:rFonts w:ascii="Wingdings" w:hAnsi="Wingdings" w:hint="default"/>
      </w:rPr>
    </w:lvl>
    <w:lvl w:ilvl="2" w:tplc="1BE6880C" w:tentative="1">
      <w:start w:val="1"/>
      <w:numFmt w:val="bullet"/>
      <w:lvlText w:val=""/>
      <w:lvlJc w:val="left"/>
      <w:pPr>
        <w:tabs>
          <w:tab w:val="num" w:pos="2160"/>
        </w:tabs>
        <w:ind w:left="2160" w:hanging="360"/>
      </w:pPr>
      <w:rPr>
        <w:rFonts w:ascii="Wingdings" w:hAnsi="Wingdings" w:hint="default"/>
      </w:rPr>
    </w:lvl>
    <w:lvl w:ilvl="3" w:tplc="CEE26EBC" w:tentative="1">
      <w:start w:val="1"/>
      <w:numFmt w:val="bullet"/>
      <w:lvlText w:val=""/>
      <w:lvlJc w:val="left"/>
      <w:pPr>
        <w:tabs>
          <w:tab w:val="num" w:pos="2880"/>
        </w:tabs>
        <w:ind w:left="2880" w:hanging="360"/>
      </w:pPr>
      <w:rPr>
        <w:rFonts w:ascii="Wingdings" w:hAnsi="Wingdings" w:hint="default"/>
      </w:rPr>
    </w:lvl>
    <w:lvl w:ilvl="4" w:tplc="8D268212" w:tentative="1">
      <w:start w:val="1"/>
      <w:numFmt w:val="bullet"/>
      <w:lvlText w:val=""/>
      <w:lvlJc w:val="left"/>
      <w:pPr>
        <w:tabs>
          <w:tab w:val="num" w:pos="3600"/>
        </w:tabs>
        <w:ind w:left="3600" w:hanging="360"/>
      </w:pPr>
      <w:rPr>
        <w:rFonts w:ascii="Wingdings" w:hAnsi="Wingdings" w:hint="default"/>
      </w:rPr>
    </w:lvl>
    <w:lvl w:ilvl="5" w:tplc="830CC8AA" w:tentative="1">
      <w:start w:val="1"/>
      <w:numFmt w:val="bullet"/>
      <w:lvlText w:val=""/>
      <w:lvlJc w:val="left"/>
      <w:pPr>
        <w:tabs>
          <w:tab w:val="num" w:pos="4320"/>
        </w:tabs>
        <w:ind w:left="4320" w:hanging="360"/>
      </w:pPr>
      <w:rPr>
        <w:rFonts w:ascii="Wingdings" w:hAnsi="Wingdings" w:hint="default"/>
      </w:rPr>
    </w:lvl>
    <w:lvl w:ilvl="6" w:tplc="B930EFBE" w:tentative="1">
      <w:start w:val="1"/>
      <w:numFmt w:val="bullet"/>
      <w:lvlText w:val=""/>
      <w:lvlJc w:val="left"/>
      <w:pPr>
        <w:tabs>
          <w:tab w:val="num" w:pos="5040"/>
        </w:tabs>
        <w:ind w:left="5040" w:hanging="360"/>
      </w:pPr>
      <w:rPr>
        <w:rFonts w:ascii="Wingdings" w:hAnsi="Wingdings" w:hint="default"/>
      </w:rPr>
    </w:lvl>
    <w:lvl w:ilvl="7" w:tplc="F860FBF8" w:tentative="1">
      <w:start w:val="1"/>
      <w:numFmt w:val="bullet"/>
      <w:lvlText w:val=""/>
      <w:lvlJc w:val="left"/>
      <w:pPr>
        <w:tabs>
          <w:tab w:val="num" w:pos="5760"/>
        </w:tabs>
        <w:ind w:left="5760" w:hanging="360"/>
      </w:pPr>
      <w:rPr>
        <w:rFonts w:ascii="Wingdings" w:hAnsi="Wingdings" w:hint="default"/>
      </w:rPr>
    </w:lvl>
    <w:lvl w:ilvl="8" w:tplc="EFEE089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020"/>
    <w:rsid w:val="00011EB4"/>
    <w:rsid w:val="000B7A3A"/>
    <w:rsid w:val="00114A83"/>
    <w:rsid w:val="002013AA"/>
    <w:rsid w:val="00252FC9"/>
    <w:rsid w:val="002B57E7"/>
    <w:rsid w:val="00332977"/>
    <w:rsid w:val="00351433"/>
    <w:rsid w:val="004067B0"/>
    <w:rsid w:val="0043502A"/>
    <w:rsid w:val="00455C0E"/>
    <w:rsid w:val="004C5F56"/>
    <w:rsid w:val="005313C8"/>
    <w:rsid w:val="00550BB8"/>
    <w:rsid w:val="005759AD"/>
    <w:rsid w:val="005C33AA"/>
    <w:rsid w:val="006118BF"/>
    <w:rsid w:val="00647915"/>
    <w:rsid w:val="00674189"/>
    <w:rsid w:val="006755B6"/>
    <w:rsid w:val="006807ED"/>
    <w:rsid w:val="007F06EF"/>
    <w:rsid w:val="008169F8"/>
    <w:rsid w:val="008A5025"/>
    <w:rsid w:val="008D315B"/>
    <w:rsid w:val="00902168"/>
    <w:rsid w:val="00951C28"/>
    <w:rsid w:val="00A452B9"/>
    <w:rsid w:val="00AD001B"/>
    <w:rsid w:val="00B5315F"/>
    <w:rsid w:val="00B95F00"/>
    <w:rsid w:val="00BA17D9"/>
    <w:rsid w:val="00BB7145"/>
    <w:rsid w:val="00C66ED4"/>
    <w:rsid w:val="00CE5CEC"/>
    <w:rsid w:val="00D82433"/>
    <w:rsid w:val="00E93199"/>
    <w:rsid w:val="00EB4782"/>
    <w:rsid w:val="00EF0020"/>
    <w:rsid w:val="00EF4954"/>
    <w:rsid w:val="00F22FF9"/>
    <w:rsid w:val="00FE68F0"/>
    <w:rsid w:val="00FF7E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755B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unhideWhenUsed/>
    <w:rsid w:val="00E93199"/>
    <w:rPr>
      <w:color w:val="0000FF" w:themeColor="hyperlink"/>
      <w:u w:val="single"/>
    </w:rPr>
  </w:style>
  <w:style w:type="character" w:customStyle="1" w:styleId="UnresolvedMention">
    <w:name w:val="Unresolved Mention"/>
    <w:basedOn w:val="Carpredefinitoparagrafo"/>
    <w:uiPriority w:val="99"/>
    <w:semiHidden/>
    <w:unhideWhenUsed/>
    <w:rsid w:val="00E93199"/>
    <w:rPr>
      <w:color w:val="605E5C"/>
      <w:shd w:val="clear" w:color="auto" w:fill="E1DFDD"/>
    </w:rPr>
  </w:style>
  <w:style w:type="character" w:styleId="Rimandocommento">
    <w:name w:val="annotation reference"/>
    <w:basedOn w:val="Carpredefinitoparagrafo"/>
    <w:uiPriority w:val="99"/>
    <w:semiHidden/>
    <w:unhideWhenUsed/>
    <w:rsid w:val="00114A83"/>
    <w:rPr>
      <w:sz w:val="16"/>
      <w:szCs w:val="16"/>
    </w:rPr>
  </w:style>
  <w:style w:type="paragraph" w:styleId="Testocommento">
    <w:name w:val="annotation text"/>
    <w:basedOn w:val="Normale"/>
    <w:link w:val="TestocommentoCarattere"/>
    <w:uiPriority w:val="99"/>
    <w:semiHidden/>
    <w:unhideWhenUsed/>
    <w:rsid w:val="00114A8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14A83"/>
    <w:rPr>
      <w:sz w:val="20"/>
      <w:szCs w:val="20"/>
      <w:lang w:val="en-GB"/>
    </w:rPr>
  </w:style>
  <w:style w:type="paragraph" w:styleId="Soggettocommento">
    <w:name w:val="annotation subject"/>
    <w:basedOn w:val="Testocommento"/>
    <w:next w:val="Testocommento"/>
    <w:link w:val="SoggettocommentoCarattere"/>
    <w:uiPriority w:val="99"/>
    <w:semiHidden/>
    <w:unhideWhenUsed/>
    <w:rsid w:val="00114A83"/>
    <w:rPr>
      <w:b/>
      <w:bCs/>
    </w:rPr>
  </w:style>
  <w:style w:type="character" w:customStyle="1" w:styleId="SoggettocommentoCarattere">
    <w:name w:val="Soggetto commento Carattere"/>
    <w:basedOn w:val="TestocommentoCarattere"/>
    <w:link w:val="Soggettocommento"/>
    <w:uiPriority w:val="99"/>
    <w:semiHidden/>
    <w:rsid w:val="00114A83"/>
    <w:rPr>
      <w:b/>
      <w:bCs/>
      <w:sz w:val="20"/>
      <w:szCs w:val="20"/>
      <w:lang w:val="en-GB"/>
    </w:rPr>
  </w:style>
  <w:style w:type="paragraph" w:styleId="Testofumetto">
    <w:name w:val="Balloon Text"/>
    <w:basedOn w:val="Normale"/>
    <w:link w:val="TestofumettoCarattere"/>
    <w:uiPriority w:val="99"/>
    <w:semiHidden/>
    <w:unhideWhenUsed/>
    <w:rsid w:val="00114A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4A83"/>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755B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unhideWhenUsed/>
    <w:rsid w:val="00E93199"/>
    <w:rPr>
      <w:color w:val="0000FF" w:themeColor="hyperlink"/>
      <w:u w:val="single"/>
    </w:rPr>
  </w:style>
  <w:style w:type="character" w:customStyle="1" w:styleId="UnresolvedMention">
    <w:name w:val="Unresolved Mention"/>
    <w:basedOn w:val="Carpredefinitoparagrafo"/>
    <w:uiPriority w:val="99"/>
    <w:semiHidden/>
    <w:unhideWhenUsed/>
    <w:rsid w:val="00E93199"/>
    <w:rPr>
      <w:color w:val="605E5C"/>
      <w:shd w:val="clear" w:color="auto" w:fill="E1DFDD"/>
    </w:rPr>
  </w:style>
  <w:style w:type="character" w:styleId="Rimandocommento">
    <w:name w:val="annotation reference"/>
    <w:basedOn w:val="Carpredefinitoparagrafo"/>
    <w:uiPriority w:val="99"/>
    <w:semiHidden/>
    <w:unhideWhenUsed/>
    <w:rsid w:val="00114A83"/>
    <w:rPr>
      <w:sz w:val="16"/>
      <w:szCs w:val="16"/>
    </w:rPr>
  </w:style>
  <w:style w:type="paragraph" w:styleId="Testocommento">
    <w:name w:val="annotation text"/>
    <w:basedOn w:val="Normale"/>
    <w:link w:val="TestocommentoCarattere"/>
    <w:uiPriority w:val="99"/>
    <w:semiHidden/>
    <w:unhideWhenUsed/>
    <w:rsid w:val="00114A8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14A83"/>
    <w:rPr>
      <w:sz w:val="20"/>
      <w:szCs w:val="20"/>
      <w:lang w:val="en-GB"/>
    </w:rPr>
  </w:style>
  <w:style w:type="paragraph" w:styleId="Soggettocommento">
    <w:name w:val="annotation subject"/>
    <w:basedOn w:val="Testocommento"/>
    <w:next w:val="Testocommento"/>
    <w:link w:val="SoggettocommentoCarattere"/>
    <w:uiPriority w:val="99"/>
    <w:semiHidden/>
    <w:unhideWhenUsed/>
    <w:rsid w:val="00114A83"/>
    <w:rPr>
      <w:b/>
      <w:bCs/>
    </w:rPr>
  </w:style>
  <w:style w:type="character" w:customStyle="1" w:styleId="SoggettocommentoCarattere">
    <w:name w:val="Soggetto commento Carattere"/>
    <w:basedOn w:val="TestocommentoCarattere"/>
    <w:link w:val="Soggettocommento"/>
    <w:uiPriority w:val="99"/>
    <w:semiHidden/>
    <w:rsid w:val="00114A83"/>
    <w:rPr>
      <w:b/>
      <w:bCs/>
      <w:sz w:val="20"/>
      <w:szCs w:val="20"/>
      <w:lang w:val="en-GB"/>
    </w:rPr>
  </w:style>
  <w:style w:type="paragraph" w:styleId="Testofumetto">
    <w:name w:val="Balloon Text"/>
    <w:basedOn w:val="Normale"/>
    <w:link w:val="TestofumettoCarattere"/>
    <w:uiPriority w:val="99"/>
    <w:semiHidden/>
    <w:unhideWhenUsed/>
    <w:rsid w:val="00114A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4A8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3638">
      <w:bodyDiv w:val="1"/>
      <w:marLeft w:val="0"/>
      <w:marRight w:val="0"/>
      <w:marTop w:val="0"/>
      <w:marBottom w:val="0"/>
      <w:divBdr>
        <w:top w:val="none" w:sz="0" w:space="0" w:color="auto"/>
        <w:left w:val="none" w:sz="0" w:space="0" w:color="auto"/>
        <w:bottom w:val="none" w:sz="0" w:space="0" w:color="auto"/>
        <w:right w:val="none" w:sz="0" w:space="0" w:color="auto"/>
      </w:divBdr>
    </w:div>
    <w:div w:id="404231846">
      <w:bodyDiv w:val="1"/>
      <w:marLeft w:val="0"/>
      <w:marRight w:val="0"/>
      <w:marTop w:val="0"/>
      <w:marBottom w:val="0"/>
      <w:divBdr>
        <w:top w:val="none" w:sz="0" w:space="0" w:color="auto"/>
        <w:left w:val="none" w:sz="0" w:space="0" w:color="auto"/>
        <w:bottom w:val="none" w:sz="0" w:space="0" w:color="auto"/>
        <w:right w:val="none" w:sz="0" w:space="0" w:color="auto"/>
      </w:divBdr>
    </w:div>
    <w:div w:id="814184694">
      <w:bodyDiv w:val="1"/>
      <w:marLeft w:val="0"/>
      <w:marRight w:val="0"/>
      <w:marTop w:val="0"/>
      <w:marBottom w:val="0"/>
      <w:divBdr>
        <w:top w:val="none" w:sz="0" w:space="0" w:color="auto"/>
        <w:left w:val="none" w:sz="0" w:space="0" w:color="auto"/>
        <w:bottom w:val="none" w:sz="0" w:space="0" w:color="auto"/>
        <w:right w:val="none" w:sz="0" w:space="0" w:color="auto"/>
      </w:divBdr>
      <w:divsChild>
        <w:div w:id="1810054927">
          <w:marLeft w:val="720"/>
          <w:marRight w:val="0"/>
          <w:marTop w:val="120"/>
          <w:marBottom w:val="0"/>
          <w:divBdr>
            <w:top w:val="none" w:sz="0" w:space="0" w:color="auto"/>
            <w:left w:val="none" w:sz="0" w:space="0" w:color="auto"/>
            <w:bottom w:val="none" w:sz="0" w:space="0" w:color="auto"/>
            <w:right w:val="none" w:sz="0" w:space="0" w:color="auto"/>
          </w:divBdr>
        </w:div>
      </w:divsChild>
    </w:div>
    <w:div w:id="969435911">
      <w:bodyDiv w:val="1"/>
      <w:marLeft w:val="0"/>
      <w:marRight w:val="0"/>
      <w:marTop w:val="0"/>
      <w:marBottom w:val="0"/>
      <w:divBdr>
        <w:top w:val="none" w:sz="0" w:space="0" w:color="auto"/>
        <w:left w:val="none" w:sz="0" w:space="0" w:color="auto"/>
        <w:bottom w:val="none" w:sz="0" w:space="0" w:color="auto"/>
        <w:right w:val="none" w:sz="0" w:space="0" w:color="auto"/>
      </w:divBdr>
      <w:divsChild>
        <w:div w:id="1897081893">
          <w:marLeft w:val="720"/>
          <w:marRight w:val="0"/>
          <w:marTop w:val="120"/>
          <w:marBottom w:val="0"/>
          <w:divBdr>
            <w:top w:val="none" w:sz="0" w:space="0" w:color="auto"/>
            <w:left w:val="none" w:sz="0" w:space="0" w:color="auto"/>
            <w:bottom w:val="none" w:sz="0" w:space="0" w:color="auto"/>
            <w:right w:val="none" w:sz="0" w:space="0" w:color="auto"/>
          </w:divBdr>
        </w:div>
        <w:div w:id="225118013">
          <w:marLeft w:val="720"/>
          <w:marRight w:val="0"/>
          <w:marTop w:val="120"/>
          <w:marBottom w:val="0"/>
          <w:divBdr>
            <w:top w:val="none" w:sz="0" w:space="0" w:color="auto"/>
            <w:left w:val="none" w:sz="0" w:space="0" w:color="auto"/>
            <w:bottom w:val="none" w:sz="0" w:space="0" w:color="auto"/>
            <w:right w:val="none" w:sz="0" w:space="0" w:color="auto"/>
          </w:divBdr>
        </w:div>
      </w:divsChild>
    </w:div>
    <w:div w:id="1289971172">
      <w:bodyDiv w:val="1"/>
      <w:marLeft w:val="0"/>
      <w:marRight w:val="0"/>
      <w:marTop w:val="0"/>
      <w:marBottom w:val="0"/>
      <w:divBdr>
        <w:top w:val="none" w:sz="0" w:space="0" w:color="auto"/>
        <w:left w:val="none" w:sz="0" w:space="0" w:color="auto"/>
        <w:bottom w:val="none" w:sz="0" w:space="0" w:color="auto"/>
        <w:right w:val="none" w:sz="0" w:space="0" w:color="auto"/>
      </w:divBdr>
    </w:div>
    <w:div w:id="1528331687">
      <w:bodyDiv w:val="1"/>
      <w:marLeft w:val="0"/>
      <w:marRight w:val="0"/>
      <w:marTop w:val="0"/>
      <w:marBottom w:val="0"/>
      <w:divBdr>
        <w:top w:val="none" w:sz="0" w:space="0" w:color="auto"/>
        <w:left w:val="none" w:sz="0" w:space="0" w:color="auto"/>
        <w:bottom w:val="none" w:sz="0" w:space="0" w:color="auto"/>
        <w:right w:val="none" w:sz="0" w:space="0" w:color="auto"/>
      </w:divBdr>
    </w:div>
    <w:div w:id="199190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ilmac.it" TargetMode="External"/><Relationship Id="rId5" Type="http://schemas.openxmlformats.org/officeDocument/2006/relationships/settings" Target="settings.xml"/><Relationship Id="rId10" Type="http://schemas.openxmlformats.org/officeDocument/2006/relationships/hyperlink" Target="https://www.eurosurveillance.org/search?option1=pub_affiliation&amp;value1=Infectious+Disease+Unit%2C+Meyer+University+Hospital%2C+Department+of+Health+Science%2C+University+of+Florence%2C+Florence%2C+Italy&amp;option912=resultCategory&amp;value912=ResearchPublicationContent" TargetMode="External"/><Relationship Id="rId4" Type="http://schemas.microsoft.com/office/2007/relationships/stylesWithEffects" Target="stylesWithEffects.xml"/><Relationship Id="rId9" Type="http://schemas.openxmlformats.org/officeDocument/2006/relationships/hyperlink" Target="http://www.regione.toscana.it/documents/10180/13326766/Allegato+parere+n.+46-2015+Prev+e+conrollo+malattia+di+Chagas.pdf/a91b89ec-2366-4abf-8646-ba65a543e025?version=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EC05C-1FD5-4A41-B46E-8118421D6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2271</Words>
  <Characters>12948</Characters>
  <Application>Microsoft Office Word</Application>
  <DocSecurity>0</DocSecurity>
  <Lines>107</Lines>
  <Paragraphs>30</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AORRBG</Company>
  <LinksUpToDate>false</LinksUpToDate>
  <CharactersWithSpaces>15189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Romay Barja</dc:creator>
  <cp:lastModifiedBy>RIZZI MARCO</cp:lastModifiedBy>
  <cp:revision>2</cp:revision>
  <dcterms:created xsi:type="dcterms:W3CDTF">2019-01-21T11:45:00Z</dcterms:created>
  <dcterms:modified xsi:type="dcterms:W3CDTF">2019-01-21T11:45:00Z</dcterms:modified>
</cp:coreProperties>
</file>